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24" w:rsidRPr="00C32F24" w:rsidRDefault="00C32F24" w:rsidP="00C32F24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111214"/>
          <w:kern w:val="36"/>
          <w:sz w:val="48"/>
          <w:szCs w:val="48"/>
          <w:lang w:eastAsia="ru-RU"/>
        </w:rPr>
      </w:pPr>
      <w:r w:rsidRPr="00C32F24">
        <w:rPr>
          <w:rFonts w:ascii="Times New Roman" w:eastAsia="Times New Roman" w:hAnsi="Times New Roman" w:cs="Times New Roman"/>
          <w:color w:val="111214"/>
          <w:kern w:val="36"/>
          <w:sz w:val="48"/>
          <w:szCs w:val="48"/>
          <w:lang w:eastAsia="ru-RU"/>
        </w:rPr>
        <w:tab/>
        <w:t>Виды недобросовестного поведения участников финансового рынка</w:t>
      </w:r>
    </w:p>
    <w:p w:rsidR="00FA2600" w:rsidRPr="00C32F24" w:rsidRDefault="00C32F24">
      <w:pPr>
        <w:rPr>
          <w:rFonts w:ascii="Times New Roman" w:hAnsi="Times New Roman" w:cs="Times New Roman"/>
          <w:color w:val="111214"/>
          <w:spacing w:val="-8"/>
          <w:sz w:val="32"/>
          <w:szCs w:val="60"/>
          <w:shd w:val="clear" w:color="auto" w:fill="FFFFFF"/>
        </w:rPr>
      </w:pPr>
      <w:r w:rsidRPr="00C32F24">
        <w:rPr>
          <w:rFonts w:ascii="Times New Roman" w:hAnsi="Times New Roman" w:cs="Times New Roman"/>
          <w:color w:val="111214"/>
          <w:spacing w:val="-8"/>
          <w:sz w:val="32"/>
          <w:szCs w:val="60"/>
          <w:shd w:val="clear" w:color="auto" w:fill="FFFFFF"/>
        </w:rPr>
        <w:tab/>
      </w:r>
      <w:r w:rsidRPr="00C32F24">
        <w:rPr>
          <w:rFonts w:ascii="Times New Roman" w:hAnsi="Times New Roman" w:cs="Times New Roman"/>
          <w:color w:val="111214"/>
          <w:spacing w:val="-8"/>
          <w:sz w:val="32"/>
          <w:szCs w:val="60"/>
          <w:shd w:val="clear" w:color="auto" w:fill="FFFFFF"/>
        </w:rPr>
        <w:t>Термин «</w:t>
      </w:r>
      <w:proofErr w:type="spellStart"/>
      <w:r w:rsidRPr="00C32F24">
        <w:rPr>
          <w:rFonts w:ascii="Times New Roman" w:hAnsi="Times New Roman" w:cs="Times New Roman"/>
          <w:color w:val="111214"/>
          <w:spacing w:val="-8"/>
          <w:sz w:val="32"/>
          <w:szCs w:val="60"/>
          <w:shd w:val="clear" w:color="auto" w:fill="FFFFFF"/>
        </w:rPr>
        <w:t>мисселинг</w:t>
      </w:r>
      <w:proofErr w:type="spellEnd"/>
      <w:r w:rsidRPr="00C32F24">
        <w:rPr>
          <w:rFonts w:ascii="Times New Roman" w:hAnsi="Times New Roman" w:cs="Times New Roman"/>
          <w:color w:val="111214"/>
          <w:spacing w:val="-8"/>
          <w:sz w:val="32"/>
          <w:szCs w:val="60"/>
          <w:shd w:val="clear" w:color="auto" w:fill="FFFFFF"/>
        </w:rPr>
        <w:t>» (</w:t>
      </w:r>
      <w:proofErr w:type="spellStart"/>
      <w:r w:rsidRPr="00C32F24">
        <w:rPr>
          <w:rFonts w:ascii="Times New Roman" w:hAnsi="Times New Roman" w:cs="Times New Roman"/>
          <w:color w:val="111214"/>
          <w:spacing w:val="-8"/>
          <w:sz w:val="32"/>
          <w:szCs w:val="60"/>
          <w:shd w:val="clear" w:color="auto" w:fill="FFFFFF"/>
        </w:rPr>
        <w:t>misselling</w:t>
      </w:r>
      <w:proofErr w:type="spellEnd"/>
      <w:r w:rsidRPr="00C32F24">
        <w:rPr>
          <w:rFonts w:ascii="Times New Roman" w:hAnsi="Times New Roman" w:cs="Times New Roman"/>
          <w:color w:val="111214"/>
          <w:spacing w:val="-8"/>
          <w:sz w:val="32"/>
          <w:szCs w:val="60"/>
          <w:shd w:val="clear" w:color="auto" w:fill="FFFFFF"/>
        </w:rPr>
        <w:t>) нередко используется для обозначения любой неприемлемой практики или недобросовестного поведения финансовых организаций при их взаимодействии с потребителями и инвесторами. Однако сам по себе он имеет более узкое значение: это продажа одного финансового продукта под видом другого, то есть лишь один из вариантов недобросовестного поведения.</w:t>
      </w:r>
    </w:p>
    <w:p w:rsidR="00C32F24" w:rsidRPr="00C32F24" w:rsidRDefault="00C32F24" w:rsidP="00C32F24">
      <w:pPr>
        <w:pStyle w:val="a3"/>
        <w:shd w:val="clear" w:color="auto" w:fill="FFFFFF"/>
        <w:spacing w:before="0" w:beforeAutospacing="0"/>
        <w:rPr>
          <w:color w:val="2B2E33"/>
          <w:spacing w:val="-3"/>
          <w:sz w:val="28"/>
          <w:szCs w:val="37"/>
        </w:rPr>
      </w:pPr>
      <w:r w:rsidRPr="00C32F24">
        <w:rPr>
          <w:color w:val="2B2E33"/>
          <w:spacing w:val="-3"/>
          <w:sz w:val="28"/>
          <w:szCs w:val="37"/>
        </w:rPr>
        <w:t xml:space="preserve">Общим термином для всех недобросовестных практик является </w:t>
      </w:r>
      <w:proofErr w:type="spellStart"/>
      <w:r w:rsidRPr="00C32F24">
        <w:rPr>
          <w:color w:val="2B2E33"/>
          <w:spacing w:val="-3"/>
          <w:sz w:val="28"/>
          <w:szCs w:val="37"/>
        </w:rPr>
        <w:t>misconduct</w:t>
      </w:r>
      <w:proofErr w:type="spellEnd"/>
      <w:r w:rsidRPr="00C32F24">
        <w:rPr>
          <w:color w:val="2B2E33"/>
          <w:spacing w:val="-3"/>
          <w:sz w:val="28"/>
          <w:szCs w:val="37"/>
        </w:rPr>
        <w:t> — («ненадлежащее поведение»), которое в каждом конкретном случае может содержать сразу несколько видов недобросовестных практик.</w:t>
      </w:r>
    </w:p>
    <w:p w:rsidR="00C32F24" w:rsidRPr="00C32F24" w:rsidRDefault="00C32F24" w:rsidP="00C32F24">
      <w:pPr>
        <w:pStyle w:val="a3"/>
        <w:shd w:val="clear" w:color="auto" w:fill="FFFFFF"/>
        <w:spacing w:before="0" w:beforeAutospacing="0"/>
        <w:rPr>
          <w:color w:val="2B2E33"/>
          <w:spacing w:val="-3"/>
          <w:sz w:val="28"/>
          <w:szCs w:val="37"/>
        </w:rPr>
      </w:pPr>
      <w:r w:rsidRPr="00C32F24">
        <w:rPr>
          <w:color w:val="2B2E33"/>
          <w:spacing w:val="-3"/>
          <w:sz w:val="28"/>
          <w:szCs w:val="37"/>
        </w:rPr>
        <w:t>Чтобы избежать терминологической неопределенности и сложностей при обсуждении вопросов, связанных c защитой интересов потребителей финансовых услуг и инвесторов, Банк России считает необходимым ввести единые определения недобросовестных практик. Перечень понятий и терминов предлагается к использованию как участниками финансового рынка, так и профессиональным сообществом.</w:t>
      </w:r>
    </w:p>
    <w:p w:rsidR="00C32F24" w:rsidRPr="00C32F24" w:rsidRDefault="00C32F24" w:rsidP="00C32F24">
      <w:pPr>
        <w:shd w:val="clear" w:color="auto" w:fill="FFFFFF"/>
        <w:tabs>
          <w:tab w:val="left" w:pos="960"/>
        </w:tabs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noProof/>
          <w:color w:val="2B2E33"/>
          <w:spacing w:val="-3"/>
          <w:sz w:val="28"/>
          <w:szCs w:val="37"/>
          <w:lang w:eastAsia="ru-RU"/>
        </w:rPr>
        <mc:AlternateContent>
          <mc:Choice Requires="wps">
            <w:drawing>
              <wp:inline distT="0" distB="0" distL="0" distR="0" wp14:anchorId="39A7CDAB" wp14:editId="7589EB17">
                <wp:extent cx="304800" cy="304800"/>
                <wp:effectExtent l="0" t="0" r="0" b="0"/>
                <wp:docPr id="5" name="Прямоугольник 5" descr="https://cbr.ru/StaticHtml/File/124706/1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2F5F4D" id="Прямоугольник 5" o:spid="_x0000_s1026" alt="https://cbr.ru/StaticHtml/File/124706/1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GYL/AIAAPwFAAAOAAAAZHJzL2Uyb0RvYy54bWysVMuO0zAU3SPxD5b3aZJO+kg06WjoA5AG&#10;GGngA9zEaSwSO9hu0wEhIbFF4hP4CDaIx3xD+kdcO22nndkgIAvL9r0593GO7+nZuizQikrFBI+x&#10;3/EwojwRKeOLGL96OXOGGClNeEoKwWmMr6nCZ6OHD07rKqJdkYsipRIBCFdRXcU417qKXFclOS2J&#10;6oiKcjBmQpZEw1Eu3FSSGtDLwu16Xt+thUwrKRKqFNxOWiMeWfwso4l+kWWKalTEGHLTdpV2nZvV&#10;HZ2SaCFJlbNkmwb5iyxKwjgE3UNNiCZoKdk9qJIlUiiR6U4iSldkGUuorQGq8b071VzlpKK2FmiO&#10;qvZtUv8PNnm+upSIpTHuYcRJCRQ1XzYfNp+bn83N5mPztblpfmw+Nb+ab813BD4pVQn0z/CkgKhk&#10;Ljty6V5polnyRAMrM1ZQ1+8GAyDH76jVwvS4BmcIdVVdStMlVV2I5LVCXIxzwhf0XFXAFOgHcthd&#10;SSnqnJIUivUNhHuEYQ4K0NC8fiZSyJostbAMrDNZmhjQW7S2RF/viaZrjRK4PPGCoQdySMC03ZsI&#10;JNr9XEmlH1NRIrOJsYTsLDhZXSjduu5cTCwuoOoC7klU8KMLwGxvIDT8amwmCSuNd6EXTofTYeAE&#10;3f7UCbzJxDmfjQOnP/MHvcnJZDye+O9NXD+IcpamlJswO5n6wZ/JYPtgWoHthapEwVIDZ1JScjEf&#10;FxKtCDyTmf1sy8Fy6+Yep2H7BbXcKQmY9x51Q2fWHw6cYBb0nHDgDR3PDx+FfS8Ig8nsuKQLxum/&#10;l4TqGIe9bs+ydJD0ndo8+92vjUQl0zCIClbGGKQBn3EikVHglKd2rwkr2v1BK0z6t60AundEW70a&#10;ibbqn4v0GuQqBcgJlAcjEza5kG8xqmH8xFi9WRJJMSqecpB86AeBmVf2EPQGXTjIQ8v80EJ4AlAx&#10;1hi127FuZ9yykmyRQyTfNoaLc3gmGbMSNk+ozWr7uGDE2Eq249DMsMOz9bod2qP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Cv8&#10;Zgv8AgAA/A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ab/>
      </w:r>
    </w:p>
    <w:p w:rsidR="00C32F24" w:rsidRPr="00C32F24" w:rsidRDefault="00C32F24" w:rsidP="00C32F24">
      <w:pPr>
        <w:shd w:val="clear" w:color="auto" w:fill="FFFFFF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Недобросовестное информирование (</w:t>
      </w:r>
      <w:proofErr w:type="spellStart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Misinforming</w:t>
      </w:r>
      <w:proofErr w:type="spellEnd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)</w:t>
      </w: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br/>
      </w:r>
      <w:r w:rsidRPr="00C32F24">
        <w:rPr>
          <w:rStyle w:val="note"/>
          <w:rFonts w:ascii="Times New Roman" w:hAnsi="Times New Roman" w:cs="Times New Roman"/>
          <w:color w:val="676E7B"/>
          <w:spacing w:val="-3"/>
          <w:sz w:val="28"/>
          <w:szCs w:val="37"/>
        </w:rPr>
        <w:t>Искажение и/или представление клиенту неполной информации о финансовом продукте (услуге).</w:t>
      </w:r>
    </w:p>
    <w:p w:rsidR="00C32F24" w:rsidRPr="00C32F24" w:rsidRDefault="00C32F24" w:rsidP="00C32F24">
      <w:pPr>
        <w:pStyle w:val="3"/>
        <w:shd w:val="clear" w:color="auto" w:fill="FFFFFF"/>
        <w:rPr>
          <w:rFonts w:ascii="Times New Roman" w:hAnsi="Times New Roman" w:cs="Times New Roman"/>
          <w:color w:val="111214"/>
          <w:spacing w:val="-3"/>
          <w:sz w:val="32"/>
          <w:szCs w:val="27"/>
        </w:rPr>
      </w:pPr>
      <w:r w:rsidRPr="00C32F24">
        <w:rPr>
          <w:rFonts w:ascii="Times New Roman" w:hAnsi="Times New Roman" w:cs="Times New Roman"/>
          <w:b/>
          <w:bCs/>
          <w:color w:val="111214"/>
          <w:spacing w:val="-3"/>
          <w:sz w:val="28"/>
        </w:rPr>
        <w:t>Искажение информации о доходности и рисках продукта</w:t>
      </w:r>
    </w:p>
    <w:p w:rsidR="00C32F24" w:rsidRPr="00C32F24" w:rsidRDefault="00C32F24" w:rsidP="00C32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Обещание гарантированного получения дохода.</w:t>
      </w:r>
    </w:p>
    <w:p w:rsidR="00C32F24" w:rsidRPr="00C32F24" w:rsidRDefault="00C32F24" w:rsidP="00C32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Ссылка на наличие «гарантии со стороны государства» при предложении продуктов (услуг) коммерческими организациями, не подлежащих страхованию в соответствии с Федеральным законом от 23.12.2003 № 177-ФЗ «О страховании вкладов в банках Российской Федерации».</w:t>
      </w:r>
    </w:p>
    <w:p w:rsidR="00C32F24" w:rsidRPr="00C32F24" w:rsidRDefault="00C32F24" w:rsidP="00C32F24">
      <w:pPr>
        <w:pStyle w:val="3"/>
        <w:shd w:val="clear" w:color="auto" w:fill="FFFFFF"/>
        <w:rPr>
          <w:rFonts w:ascii="Times New Roman" w:hAnsi="Times New Roman" w:cs="Times New Roman"/>
          <w:color w:val="111214"/>
          <w:spacing w:val="-3"/>
          <w:sz w:val="20"/>
          <w:szCs w:val="27"/>
        </w:rPr>
      </w:pPr>
      <w:r w:rsidRPr="00C32F24">
        <w:rPr>
          <w:rFonts w:ascii="Times New Roman" w:hAnsi="Times New Roman" w:cs="Times New Roman"/>
          <w:b/>
          <w:bCs/>
          <w:color w:val="111214"/>
          <w:spacing w:val="-3"/>
          <w:sz w:val="28"/>
        </w:rPr>
        <w:t>Навязывание услуги или продукта, недостаточное информирование, умалчивание существенной информации</w:t>
      </w:r>
    </w:p>
    <w:p w:rsidR="00C32F24" w:rsidRPr="00C32F24" w:rsidRDefault="00C32F24" w:rsidP="00C32F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 xml:space="preserve">Утаивание информации об отсутствии гарантий получения полной суммы внесенных денежных средств при досрочном расторжении договора, обозначение потребителю (инвестору) только положительных качеств (условий) </w:t>
      </w:r>
      <w:proofErr w:type="spellStart"/>
      <w:proofErr w:type="gramStart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договора,продукта</w:t>
      </w:r>
      <w:proofErr w:type="spellEnd"/>
      <w:proofErr w:type="gramEnd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 xml:space="preserve"> или услуги.</w:t>
      </w:r>
    </w:p>
    <w:p w:rsidR="00C32F24" w:rsidRPr="00C32F24" w:rsidRDefault="00C32F24" w:rsidP="00C32F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lastRenderedPageBreak/>
        <w:t>Реализация продукта (услуги) путем акцепта оплатой, то есть заемщику не предоставляются на ознакомление конкретные условия договора, договор считается заключенным по факту перевода средств, в том числе при выраженном несогласии с получением данной услуги в заявлении о предоставлении потребительского кредита.</w:t>
      </w:r>
    </w:p>
    <w:p w:rsidR="00C32F24" w:rsidRPr="00C32F24" w:rsidRDefault="00C32F24" w:rsidP="00C32F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Навязывание продуктов (услуг) без предварительного ознакомления клиента с документами, содержащими все условия совершаемой сделки.</w:t>
      </w: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br/>
      </w: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br/>
      </w:r>
    </w:p>
    <w:p w:rsidR="00C32F24" w:rsidRPr="00C32F24" w:rsidRDefault="00C32F24" w:rsidP="00C32F24">
      <w:pPr>
        <w:shd w:val="clear" w:color="auto" w:fill="FFFFFF"/>
        <w:spacing w:after="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noProof/>
          <w:color w:val="2B2E33"/>
          <w:spacing w:val="-3"/>
          <w:sz w:val="28"/>
          <w:szCs w:val="37"/>
          <w:lang w:eastAsia="ru-RU"/>
        </w:rPr>
        <mc:AlternateContent>
          <mc:Choice Requires="wps">
            <w:drawing>
              <wp:inline distT="0" distB="0" distL="0" distR="0" wp14:anchorId="470CC69E" wp14:editId="502C7F94">
                <wp:extent cx="304800" cy="304800"/>
                <wp:effectExtent l="0" t="0" r="0" b="0"/>
                <wp:docPr id="4" name="Прямоугольник 4" descr="https://cbr.ru/StaticHtml/File/124706/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5FC06" id="Прямоугольник 4" o:spid="_x0000_s1026" alt="https://cbr.ru/StaticHtml/File/124706/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zW/AIAAPwFAAAOAAAAZHJzL2Uyb0RvYy54bWysVMuO0zAU3SPxD5b3aZJO+kg06WjoA5AG&#10;GGngA9zEaSwSO9hu0wEhIbFF4hP4CDaIx3xD+kdcO22nndkgIAvL9r0593GO7+nZuizQikrFBI+x&#10;3/EwojwRKeOLGL96OXOGGClNeEoKwWmMr6nCZ6OHD07rKqJdkYsipRIBCFdRXcU417qKXFclOS2J&#10;6oiKcjBmQpZEw1Eu3FSSGtDLwu16Xt+thUwrKRKqFNxOWiMeWfwso4l+kWWKalTEGHLTdpV2nZvV&#10;HZ2SaCFJlbNkmwb5iyxKwjgE3UNNiCZoKdk9qJIlUiiR6U4iSldkGUuorQGq8b071VzlpKK2FmiO&#10;qvZtUv8PNnm+upSIpTEOMOKkBIqaL5sPm8/Nz+Zm87H52tw0Pzafml/Nt+Y7Ap+UqgT6Z3hSQFQy&#10;lx25dK800Sx5ooGVGSuo63eDAZDT7ajVwvS4BmcIdVVdStMlVV2I5LVCXIxzwhf0XFXAFOgHcthd&#10;SSnqnJIUivUNhHuEYQ4K0NC8fiZSyJostbAMrDNZmhjQW7S2RF/viaZrjRK4PPGCoQdySMC03ZsI&#10;JNr9XEmlH1NRIrOJsYTsLDhZXSjduu5cTCwuoOoC7klU8KMLwGxvIDT8amwmCSuNd6EXTofTYeAE&#10;3f7UCbzJxDmfjQOnP/MHvcnJZDye+O9NXD+IcpamlJswO5n6wZ/JYPtgWoHthapEwVIDZ1JScjEf&#10;FxKtCDyTmf1sy8Fy6+Yep2H7BbXcKQmY9x51Q2fWHw6cYBb0nHDgDR3PDx+FfS8Ig8nsuKQLxum/&#10;l4TqGIe9bs+ydJD0ndo8+92vjUQl0zCIClbGGKQBn3EikVHglKd2rwkr2v1BK0z6t60AundEW70a&#10;ibbqn4v0GuQqBcgJlAcjEza5kG8xqmH8xFi9WRJJMSqecpB86AeBmVf2EPQGXTjIQ8v80EJ4AlAx&#10;1hi127FuZ9yykmyRQyTfNoaLc3gmGbMSNk+ozWr7uGDE2Eq249DMsMOz9bod2qP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BkC&#10;3Nb8AgAA/A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C32F24" w:rsidRPr="00C32F24" w:rsidRDefault="00C32F24" w:rsidP="00C32F24">
      <w:pPr>
        <w:shd w:val="clear" w:color="auto" w:fill="FFFFFF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Продажа неподходящих продуктов (</w:t>
      </w:r>
      <w:proofErr w:type="spellStart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Unsuitable</w:t>
      </w:r>
      <w:proofErr w:type="spellEnd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 xml:space="preserve"> </w:t>
      </w:r>
      <w:proofErr w:type="spellStart"/>
      <w:proofErr w:type="gramStart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selling</w:t>
      </w:r>
      <w:proofErr w:type="spellEnd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)</w:t>
      </w: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br/>
      </w:r>
      <w:r w:rsidRPr="00C32F24">
        <w:rPr>
          <w:rStyle w:val="note"/>
          <w:rFonts w:ascii="Times New Roman" w:hAnsi="Times New Roman" w:cs="Times New Roman"/>
          <w:color w:val="676E7B"/>
          <w:spacing w:val="-3"/>
          <w:sz w:val="28"/>
          <w:szCs w:val="37"/>
        </w:rPr>
        <w:t>Продажа</w:t>
      </w:r>
      <w:proofErr w:type="gramEnd"/>
      <w:r w:rsidRPr="00C32F24">
        <w:rPr>
          <w:rStyle w:val="note"/>
          <w:rFonts w:ascii="Times New Roman" w:hAnsi="Times New Roman" w:cs="Times New Roman"/>
          <w:color w:val="676E7B"/>
          <w:spacing w:val="-3"/>
          <w:sz w:val="28"/>
          <w:szCs w:val="37"/>
        </w:rPr>
        <w:t xml:space="preserve"> финансовых продуктов или услуг, не отвечающих интересам клиентов.</w:t>
      </w:r>
    </w:p>
    <w:p w:rsidR="00C32F24" w:rsidRPr="00C32F24" w:rsidRDefault="00C32F24" w:rsidP="00C32F24">
      <w:pPr>
        <w:pStyle w:val="3"/>
        <w:shd w:val="clear" w:color="auto" w:fill="FFFFFF"/>
        <w:rPr>
          <w:rFonts w:ascii="Times New Roman" w:hAnsi="Times New Roman" w:cs="Times New Roman"/>
          <w:color w:val="111214"/>
          <w:spacing w:val="-3"/>
          <w:sz w:val="32"/>
          <w:szCs w:val="27"/>
        </w:rPr>
      </w:pPr>
      <w:r w:rsidRPr="00C32F24">
        <w:rPr>
          <w:rFonts w:ascii="Times New Roman" w:hAnsi="Times New Roman" w:cs="Times New Roman"/>
          <w:b/>
          <w:bCs/>
          <w:color w:val="111214"/>
          <w:spacing w:val="-3"/>
          <w:sz w:val="28"/>
        </w:rPr>
        <w:t>Продажа продуктов социально незащищенным и уязвимым категориям клиентов</w:t>
      </w:r>
    </w:p>
    <w:p w:rsidR="00C32F24" w:rsidRPr="00C32F24" w:rsidRDefault="00C32F24" w:rsidP="00C32F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Продажа инвестиционных продуктов, предполагающих получение дохода в долгосрочной перспективе, социально незащищенным слоям населения и гражданам пенсионного возраста. При досрочном выходе из таких продуктов не возвращается сумма изначально инвестированных средств.</w:t>
      </w:r>
    </w:p>
    <w:p w:rsidR="00C32F24" w:rsidRPr="00C32F24" w:rsidRDefault="00C32F24" w:rsidP="00C32F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Продажа продуктов с высоким уровнем риска без оценки аппетита к риску клиента.</w:t>
      </w:r>
    </w:p>
    <w:p w:rsidR="00C32F24" w:rsidRPr="00C32F24" w:rsidRDefault="00C32F24" w:rsidP="00C32F24">
      <w:pPr>
        <w:pStyle w:val="3"/>
        <w:shd w:val="clear" w:color="auto" w:fill="FFFFFF"/>
        <w:rPr>
          <w:rFonts w:ascii="Times New Roman" w:hAnsi="Times New Roman" w:cs="Times New Roman"/>
          <w:color w:val="111214"/>
          <w:spacing w:val="-3"/>
          <w:sz w:val="32"/>
          <w:szCs w:val="27"/>
        </w:rPr>
      </w:pPr>
      <w:r w:rsidRPr="00C32F24">
        <w:rPr>
          <w:rFonts w:ascii="Times New Roman" w:hAnsi="Times New Roman" w:cs="Times New Roman"/>
          <w:b/>
          <w:bCs/>
          <w:color w:val="111214"/>
          <w:spacing w:val="-3"/>
          <w:sz w:val="28"/>
        </w:rPr>
        <w:t>Продажа сложных финансовых продуктов лицам, не обладающим достаточным опытом и знаниями</w:t>
      </w:r>
    </w:p>
    <w:p w:rsidR="00C32F24" w:rsidRPr="00C32F24" w:rsidRDefault="00C32F24" w:rsidP="00C32F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Продажа сложных финансовых продуктов гражданам, у которых нет профильных знаний (опыта) работы для расчета их доходности.</w:t>
      </w:r>
    </w:p>
    <w:p w:rsidR="00C32F24" w:rsidRPr="00C32F24" w:rsidRDefault="00C32F24" w:rsidP="00C32F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Продажа гражданам сложных финансовых продуктов без оценки или формальной оценки знаний клиента.</w:t>
      </w: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br/>
      </w: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br/>
      </w:r>
    </w:p>
    <w:p w:rsidR="00C32F24" w:rsidRPr="00C32F24" w:rsidRDefault="00C32F24" w:rsidP="00C32F24">
      <w:pPr>
        <w:shd w:val="clear" w:color="auto" w:fill="FFFFFF"/>
        <w:spacing w:after="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noProof/>
          <w:color w:val="2B2E33"/>
          <w:spacing w:val="-3"/>
          <w:sz w:val="28"/>
          <w:szCs w:val="37"/>
          <w:lang w:eastAsia="ru-RU"/>
        </w:rPr>
        <mc:AlternateContent>
          <mc:Choice Requires="wps">
            <w:drawing>
              <wp:inline distT="0" distB="0" distL="0" distR="0" wp14:anchorId="562724FC" wp14:editId="36C2B7AE">
                <wp:extent cx="304800" cy="304800"/>
                <wp:effectExtent l="0" t="0" r="0" b="0"/>
                <wp:docPr id="3" name="Прямоугольник 3" descr="https://cbr.ru/StaticHtml/File/124706/3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FDA73A" id="Прямоугольник 3" o:spid="_x0000_s1026" alt="https://cbr.ru/StaticHtml/File/124706/3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4h/AIAAPwFAAAOAAAAZHJzL2Uyb0RvYy54bWysVMuO0zAU3SPxD5b3aZI2fSSadDT0AUgD&#10;jDTwAW7iNBaJHWy3mQEhIbFF4hP4CDaIx3xD+kdcO22nndkgIAvL9r0593GO78npVVmgNZWKCR5j&#10;v+NhRHkiUsaXMX71cu6MMFKa8JQUgtMYX1OFT8cPH5zUVUS7IhdFSiUCEK6iuopxrnUVua5KcloS&#10;1REV5WDMhCyJhqNcuqkkNaCXhdv1vIFbC5lWUiRUKbidtkY8tvhZRhP9IssU1aiIMeSm7SrtujCr&#10;Oz4h0VKSKmfJNg3yF1mUhHEIuoeaEk3QSrJ7UCVLpFAi051ElK7IMpZQWwNU43t3qrnMSUVtLdAc&#10;Ve3bpP4fbPJ8fSERS2Pcw4iTEihqvmw+bD43P5ubzcfma3PT/Nh8an4135rvCHxSqhLon+FJAVHJ&#10;Qnbkyr3URLPkiQZW5qygrt8NhkBOr6PWS9PjGpwh1GV1IU2XVHUuktcKcTHJCV/SM1UBU6AfyGF3&#10;JaWoc0pSKNY3EO4RhjkoQEOL+plIIWuy0sIycJXJ0sSA3qIrS/T1nmh6pVEClz0vGHkghwRM272J&#10;QKLdz5VU+jEVJTKbGEvIzoKT9bnSrevOxcTiAqou4J5EBT+6AMz2BkLDr8ZmkrDSeBd64Ww0GwVO&#10;0B3MnMCbTp2z+SRwBnN/2J/2ppPJ1H9v4vpBlLM0pdyE2cnUD/5MBtsH0wpsL1QlCpYaOJOSksvF&#10;pJBoTeCZzO1nWw6WWzf3OA3bL6jlTknAvPeoGzrzwWjoBPOg74RDb+R4fvgoHHhBGEznxyWdM07/&#10;vSRUxzjsd/uWpYOk79Tm2e9+bSQqmYZBVLAyxiAN+IwTiYwCZzy1e01Y0e4PWmHSv20F0L0j2urV&#10;SLRV/0Kk1yBXKUBOoDwYmbDJhXyLUQ3jJ8bqzYpIilHxlIPkQz8IzLyyh6A/7MJBHloWhxbCE4CK&#10;scao3U50O+NWlWTLHCL5tjFcnMEzyZiVsHlCbVbbxwUjxlayHYdmhh2erdft0B7/B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Llu&#10;HiH8AgAA/A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C32F24" w:rsidRPr="00C32F24" w:rsidRDefault="00C32F24" w:rsidP="00C32F24">
      <w:pPr>
        <w:shd w:val="clear" w:color="auto" w:fill="FFFFFF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Непрозрачное ценообразование (</w:t>
      </w:r>
      <w:proofErr w:type="spellStart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Mispricing</w:t>
      </w:r>
      <w:proofErr w:type="spellEnd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)</w:t>
      </w: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br/>
      </w:r>
      <w:r w:rsidRPr="00C32F24">
        <w:rPr>
          <w:rStyle w:val="note"/>
          <w:rFonts w:ascii="Times New Roman" w:hAnsi="Times New Roman" w:cs="Times New Roman"/>
          <w:color w:val="676E7B"/>
          <w:spacing w:val="-3"/>
          <w:sz w:val="28"/>
          <w:szCs w:val="37"/>
        </w:rPr>
        <w:t>Введение в заблуждение относительно размера комиссий, стоимости (справедливой стоимости) финансового продукта или услуги.</w:t>
      </w:r>
    </w:p>
    <w:p w:rsidR="00C32F24" w:rsidRPr="00C32F24" w:rsidRDefault="00C32F24" w:rsidP="00C32F24">
      <w:pPr>
        <w:pStyle w:val="3"/>
        <w:shd w:val="clear" w:color="auto" w:fill="FFFFFF"/>
        <w:rPr>
          <w:rFonts w:ascii="Times New Roman" w:hAnsi="Times New Roman" w:cs="Times New Roman"/>
          <w:color w:val="111214"/>
          <w:spacing w:val="-3"/>
          <w:sz w:val="20"/>
          <w:szCs w:val="27"/>
        </w:rPr>
      </w:pPr>
      <w:r w:rsidRPr="00C32F24">
        <w:rPr>
          <w:rFonts w:ascii="Times New Roman" w:hAnsi="Times New Roman" w:cs="Times New Roman"/>
          <w:b/>
          <w:bCs/>
          <w:color w:val="111214"/>
          <w:spacing w:val="-3"/>
          <w:sz w:val="28"/>
        </w:rPr>
        <w:lastRenderedPageBreak/>
        <w:t>Предложение продуктов и услуг со скрытыми и непрозрачными комиссиями</w:t>
      </w:r>
    </w:p>
    <w:p w:rsidR="00C32F24" w:rsidRPr="00C32F24" w:rsidRDefault="00C32F24" w:rsidP="00C32F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Установление двойных комиссий в связи с приобретением одного финансового продукта или услуги (например, взимание комиссии за управление паевым инвестиционным фондом наряду с комиссией за доверительное управление инвестиционным портфелем клиентов, в состав активов которого приобретаются инвестиционные паи фонда).</w:t>
      </w:r>
    </w:p>
    <w:p w:rsidR="00C32F24" w:rsidRPr="00C32F24" w:rsidRDefault="00C32F24" w:rsidP="00C32F24">
      <w:pPr>
        <w:pStyle w:val="3"/>
        <w:shd w:val="clear" w:color="auto" w:fill="FFFFFF"/>
        <w:rPr>
          <w:rFonts w:ascii="Times New Roman" w:hAnsi="Times New Roman" w:cs="Times New Roman"/>
          <w:color w:val="111214"/>
          <w:spacing w:val="-3"/>
          <w:sz w:val="32"/>
          <w:szCs w:val="27"/>
        </w:rPr>
      </w:pPr>
      <w:r w:rsidRPr="00C32F24">
        <w:rPr>
          <w:rFonts w:ascii="Times New Roman" w:hAnsi="Times New Roman" w:cs="Times New Roman"/>
          <w:b/>
          <w:bCs/>
          <w:color w:val="111214"/>
          <w:spacing w:val="-3"/>
          <w:sz w:val="28"/>
        </w:rPr>
        <w:t>Предложение финансовых продуктов и услуг, ценовые параметры (размер процентной ставки, премии, комиссии и другое) которых ущемляют интересы клиента</w:t>
      </w:r>
    </w:p>
    <w:p w:rsidR="00C32F24" w:rsidRPr="00C32F24" w:rsidRDefault="00C32F24" w:rsidP="00C32F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Предложение потребителю финансового продукта или услуги, стоимость которых (комиссии по которым) существенно отклоняются от параметров аналогичных сделок на рынке (предложение заключить опционный договор с взиманием завышенной премии, предложение выкупа ликвидных ценных бумаг на внебиржевом рынке по заниженной цене, применение сложных тарифов с завышенными комиссиями).</w:t>
      </w:r>
    </w:p>
    <w:p w:rsidR="00C32F24" w:rsidRPr="00C32F24" w:rsidRDefault="00C32F24" w:rsidP="00C32F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proofErr w:type="spellStart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Неразъяснение</w:t>
      </w:r>
      <w:proofErr w:type="spellEnd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 xml:space="preserve"> гражданину информации о полной стоимости продукта или услуги, а также о дополнительных расходах, связанных с их приобретением и хранением.</w:t>
      </w:r>
    </w:p>
    <w:p w:rsidR="00C32F24" w:rsidRPr="00C32F24" w:rsidRDefault="00C32F24" w:rsidP="00C32F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Предложение потребителю финансового продукта без разъяснения информации о том, что данный продукт предполагает фиксированный ежегодный взнос.</w:t>
      </w:r>
    </w:p>
    <w:p w:rsidR="00C32F24" w:rsidRPr="00C32F24" w:rsidRDefault="00C32F24" w:rsidP="00C32F24">
      <w:pPr>
        <w:pStyle w:val="3"/>
        <w:shd w:val="clear" w:color="auto" w:fill="FFFFFF"/>
        <w:rPr>
          <w:rFonts w:ascii="Times New Roman" w:hAnsi="Times New Roman" w:cs="Times New Roman"/>
          <w:color w:val="111214"/>
          <w:spacing w:val="-3"/>
          <w:sz w:val="32"/>
          <w:szCs w:val="27"/>
        </w:rPr>
      </w:pPr>
      <w:r w:rsidRPr="00C32F24">
        <w:rPr>
          <w:rFonts w:ascii="Times New Roman" w:hAnsi="Times New Roman" w:cs="Times New Roman"/>
          <w:b/>
          <w:bCs/>
          <w:color w:val="111214"/>
          <w:spacing w:val="-3"/>
          <w:sz w:val="28"/>
        </w:rPr>
        <w:t>Навязывание продуктов в целях начисления дополнительных комиссий (</w:t>
      </w:r>
      <w:proofErr w:type="spellStart"/>
      <w:r w:rsidRPr="00C32F24">
        <w:rPr>
          <w:rFonts w:ascii="Times New Roman" w:hAnsi="Times New Roman" w:cs="Times New Roman"/>
          <w:b/>
          <w:bCs/>
          <w:color w:val="111214"/>
          <w:spacing w:val="-3"/>
          <w:sz w:val="28"/>
        </w:rPr>
        <w:t>Churning</w:t>
      </w:r>
      <w:proofErr w:type="spellEnd"/>
      <w:r w:rsidRPr="00C32F24">
        <w:rPr>
          <w:rFonts w:ascii="Times New Roman" w:hAnsi="Times New Roman" w:cs="Times New Roman"/>
          <w:b/>
          <w:bCs/>
          <w:color w:val="111214"/>
          <w:spacing w:val="-3"/>
          <w:sz w:val="28"/>
        </w:rPr>
        <w:t>)</w:t>
      </w:r>
    </w:p>
    <w:p w:rsidR="00C32F24" w:rsidRPr="00C32F24" w:rsidRDefault="00C32F24" w:rsidP="00C32F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Навязывание брокером или агентом финансовой организации приобретения финансовых инструментов (услуг) совершения сделок за счет клиента в целях увеличения комиссии (агентского вознаграждения), не имеющих экономического смысла для клиента.</w:t>
      </w: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br/>
      </w: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br/>
      </w:r>
    </w:p>
    <w:p w:rsidR="00C32F24" w:rsidRPr="00C32F24" w:rsidRDefault="00C32F24" w:rsidP="00C32F24">
      <w:pPr>
        <w:shd w:val="clear" w:color="auto" w:fill="FFFFFF"/>
        <w:spacing w:after="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noProof/>
          <w:color w:val="2B2E33"/>
          <w:spacing w:val="-3"/>
          <w:sz w:val="28"/>
          <w:szCs w:val="37"/>
          <w:lang w:eastAsia="ru-RU"/>
        </w:rPr>
        <mc:AlternateContent>
          <mc:Choice Requires="wps">
            <w:drawing>
              <wp:inline distT="0" distB="0" distL="0" distR="0" wp14:anchorId="670D69C5" wp14:editId="089FA96C">
                <wp:extent cx="304800" cy="304800"/>
                <wp:effectExtent l="0" t="0" r="0" b="0"/>
                <wp:docPr id="2" name="Прямоугольник 2" descr="https://cbr.ru/StaticHtml/File/124706/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35D16C" id="Прямоугольник 2" o:spid="_x0000_s1026" alt="https://cbr.ru/StaticHtml/File/124706/4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SZU/AIAAPwFAAAOAAAAZHJzL2Uyb0RvYy54bWysVMuO0zAU3SPxD5b3aZJO+kg06WjoA5AG&#10;GGngA9zEaSwSO9hu0wEhIbFF4hP4CDaIx3xD+kdcO22nndkgIAvL9r0593GO7+nZuizQikrFBI+x&#10;3/EwojwRKeOLGL96OXOGGClNeEoKwWmMr6nCZ6OHD07rKqJdkYsipRIBCFdRXcU417qKXFclOS2J&#10;6oiKcjBmQpZEw1Eu3FSSGtDLwu16Xt+thUwrKRKqFNxOWiMeWfwso4l+kWWKalTEGHLTdpV2nZvV&#10;HZ2SaCFJlbNkmwb5iyxKwjgE3UNNiCZoKdk9qJIlUiiR6U4iSldkGUuorQGq8b071VzlpKK2FmiO&#10;qvZtUv8PNnm+upSIpTHuYsRJCRQ1XzYfNp+bn83N5mPztblpfmw+Nb+ab813BD4pVQn0z/CkgKhk&#10;Ljty6V5polnyRAMrM1ZQ1+8GAyAn6KjVwvS4BmcIdVVdStMlVV2I5LVCXIxzwhf0XFXAFOgHcthd&#10;SSnqnJIUivUNhHuEYQ4K0NC8fiZSyJostbAMrDNZmhjQW7S2RF/viaZrjRK4PPGCoQdySMC03ZsI&#10;JNr9XEmlH1NRIrOJsYTsLDhZXSjduu5cTCwuoOoC7klU8KMLwGxvIDT8amwmCSuNd6EXTofTYeAE&#10;3f7UCbzJxDmfjQOnP/MHvcnJZDye+O9NXD+IcpamlJswO5n6wZ/JYPtgWoHthapEwVIDZ1JScjEf&#10;FxKtCDyTmf1sy8Fy6+Yep2H7BbXcKQmY9x51Q2fWHw6cYBb0nHDgDR3PDx+FfS8Ig8nsuKQLxum/&#10;l4TqGIe9bs+ydJD0ndo8+92vjUQl0zCIClbGGKQBn3EikVHglKd2rwkr2v1BK0z6t60AundEW70a&#10;ibbqn4v0GuQqBcgJlAcjEza5kG8xqmH8xFi9WRJJMSqecpB86AeBmVf2EPQGXTjIQ8v80EJ4AlAx&#10;1hi127FuZ9yykmyRQyTfNoaLc3gmGbMSNk+ozWr7uGDE2Eq249DMsMOz9bod2qP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NXd&#10;JlT8AgAA/A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C32F24" w:rsidRPr="00C32F24" w:rsidRDefault="00C32F24" w:rsidP="00C32F24">
      <w:pPr>
        <w:shd w:val="clear" w:color="auto" w:fill="FFFFFF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Связанная продажа (</w:t>
      </w:r>
      <w:proofErr w:type="spellStart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Tied</w:t>
      </w:r>
      <w:proofErr w:type="spellEnd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 xml:space="preserve"> </w:t>
      </w:r>
      <w:proofErr w:type="spellStart"/>
      <w:proofErr w:type="gramStart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selling</w:t>
      </w:r>
      <w:proofErr w:type="spellEnd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)</w:t>
      </w: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br/>
      </w:r>
      <w:r w:rsidRPr="00C32F24">
        <w:rPr>
          <w:rStyle w:val="note"/>
          <w:rFonts w:ascii="Times New Roman" w:hAnsi="Times New Roman" w:cs="Times New Roman"/>
          <w:color w:val="676E7B"/>
          <w:spacing w:val="-3"/>
          <w:sz w:val="28"/>
          <w:szCs w:val="37"/>
        </w:rPr>
        <w:t>Практика</w:t>
      </w:r>
      <w:proofErr w:type="gramEnd"/>
      <w:r w:rsidRPr="00C32F24">
        <w:rPr>
          <w:rStyle w:val="note"/>
          <w:rFonts w:ascii="Times New Roman" w:hAnsi="Times New Roman" w:cs="Times New Roman"/>
          <w:color w:val="676E7B"/>
          <w:spacing w:val="-3"/>
          <w:sz w:val="28"/>
          <w:szCs w:val="37"/>
        </w:rPr>
        <w:t xml:space="preserve"> компании, предоставляющей финансовый продукт или услугу при условии, что клиент покупает какой-либо другой продукт или услугу.</w:t>
      </w:r>
    </w:p>
    <w:p w:rsidR="00C32F24" w:rsidRPr="00C32F24" w:rsidRDefault="00C32F24" w:rsidP="00C32F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Включение договора об обязательном пенсионном страховании в комплект документов, необходимых для получения договора займа.</w:t>
      </w:r>
    </w:p>
    <w:p w:rsidR="00C32F24" w:rsidRPr="00C32F24" w:rsidRDefault="00C32F24" w:rsidP="00C32F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lastRenderedPageBreak/>
        <w:t>Предоставление кредита только при условии приобретения определенного страхового продукта.</w:t>
      </w:r>
    </w:p>
    <w:p w:rsidR="00C32F24" w:rsidRPr="00C32F24" w:rsidRDefault="00C32F24" w:rsidP="00C32F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Включение в договор на оказание банковского обслуживания депозитарных и брокерских договоров как обязательного условия приобретения банковского продукта.</w:t>
      </w:r>
    </w:p>
    <w:p w:rsidR="00C32F24" w:rsidRPr="00C32F24" w:rsidRDefault="00C32F24" w:rsidP="00C32F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proofErr w:type="spellStart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Неотражение</w:t>
      </w:r>
      <w:proofErr w:type="spellEnd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 xml:space="preserve"> в заявлении о предоставлении потребительского кредита дополнительной платной услуги, </w:t>
      </w:r>
      <w:proofErr w:type="gramStart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например</w:t>
      </w:r>
      <w:proofErr w:type="gramEnd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 xml:space="preserve"> сертификата на круглосуточную квалифицированную юридическую поддержку.</w:t>
      </w: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br/>
      </w: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br/>
      </w:r>
    </w:p>
    <w:p w:rsidR="00C32F24" w:rsidRPr="00C32F24" w:rsidRDefault="00C32F24" w:rsidP="00C32F24">
      <w:pPr>
        <w:shd w:val="clear" w:color="auto" w:fill="FFFFFF"/>
        <w:spacing w:after="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noProof/>
          <w:color w:val="2B2E33"/>
          <w:spacing w:val="-3"/>
          <w:sz w:val="28"/>
          <w:szCs w:val="37"/>
          <w:lang w:eastAsia="ru-RU"/>
        </w:rPr>
        <mc:AlternateContent>
          <mc:Choice Requires="wps">
            <w:drawing>
              <wp:inline distT="0" distB="0" distL="0" distR="0" wp14:anchorId="70335B90" wp14:editId="7D4CA084">
                <wp:extent cx="304800" cy="304800"/>
                <wp:effectExtent l="0" t="0" r="0" b="0"/>
                <wp:docPr id="1" name="Прямоугольник 1" descr="https://cbr.ru/StaticHtml/File/124706/5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AD8284" id="Прямоугольник 1" o:spid="_x0000_s1026" alt="https://cbr.ru/StaticHtml/File/124706/5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pB+gIAAPwFAAAOAAAAZHJzL2Uyb0RvYy54bWysVMuO0zAU3SPxD5b3aZJO+kg06WjoA5AG&#10;GGngA9zEaSwSO9hu0wEhIbFF4hP4CDaIx3xD+kdcO22nndkgIAvL9r0593GO7+nZuizQikrFBI+x&#10;3/EwojwRKeOLGL96OXOGGClNeEoKwWmMr6nCZ6OHD07rKqJdkYsipRIBCFdRXcU417qKXFclOS2J&#10;6oiKcjBmQpZEw1Eu3FSSGtDLwu16Xt+thUwrKRKqFNxOWiMeWfwso4l+kWWKalTEGHLTdpV2nZvV&#10;HZ2SaCFJlbNkmwb5iyxKwjgE3UNNiCZoKdk9qJIlUiiR6U4iSldkGUuorQGq8b071VzlpKK2FmiO&#10;qvZtUv8PNnm+upSIpcAdRpyUQFHzZfNh87n52dxsPjZfm5vmx+ZT86v51nxH4JNSlUD/DE8KiErm&#10;siOX7pUmmiVPNLAyYwV1/W4wAHJ6HbVamB7X4AyhrqpLabqkqguRvFaIi3FO+IKeqwqYanPYXUkp&#10;6pySFIr1DYR7hGEOCtDQvH4mUsiaLLWwDKwzWZoY0Fu0tkRf74mma40SuDzxgqEHckjAtN2bCCTa&#10;/VxJpR9TUSKzibGE7Cw4WV0o3bruXEwsLqDqAu5JVPCjC8BsbyA0/GpsJgkrjXehF06H02HgBN3+&#10;1Am8ycQ5n40Dpz/zB73JyWQ8nvjvTVw/iHKWppSbMDuZ+sGfyWD7YFqB7YWqRMFSA2dSUnIxHxcS&#10;rQg8k5n9bMvBcuvmHqdh+wW13CkJmPcedUNn1h8OnGAW9Jxw4A0dzw8fhX0vCIPJ7LikC8bpv5eE&#10;6hiHvW7PsnSQ9J3aPPvdr41EJdMwiApWxhikAZ9xIpFR4JSndq8JK9r9QStM+retALp3RFu9Gom2&#10;6p+L9BrkKgXICZQHIxM2uZBvMaph/MRYvVkSSTEqnnKQfOgHgZlX9hD0Bl04yEPL/NBCeAJQMdYY&#10;tduxbmfcspJskUMk3zaGi3N4JhmzEjZPqM1q+7hgxNhKtuPQzLDDs/W6Hdqj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clBpB&#10;+gIAAPwF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C32F24" w:rsidRPr="00C32F24" w:rsidRDefault="00C32F24" w:rsidP="00C32F24">
      <w:pPr>
        <w:shd w:val="clear" w:color="auto" w:fill="FFFFFF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Подм</w:t>
      </w:r>
      <w:bookmarkStart w:id="0" w:name="_GoBack"/>
      <w:bookmarkEnd w:id="0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ена продукта (</w:t>
      </w:r>
      <w:proofErr w:type="spellStart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Misselling</w:t>
      </w:r>
      <w:proofErr w:type="spellEnd"/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)</w:t>
      </w: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br/>
      </w:r>
      <w:r w:rsidRPr="00C32F24">
        <w:rPr>
          <w:rStyle w:val="note"/>
          <w:rFonts w:ascii="Times New Roman" w:hAnsi="Times New Roman" w:cs="Times New Roman"/>
          <w:color w:val="676E7B"/>
          <w:spacing w:val="-3"/>
          <w:sz w:val="28"/>
          <w:szCs w:val="37"/>
        </w:rPr>
        <w:t>Предложение одного финансового продукта (услуги) под видом другого.</w:t>
      </w:r>
    </w:p>
    <w:p w:rsidR="00C32F24" w:rsidRPr="00C32F24" w:rsidRDefault="00C32F24" w:rsidP="00C32F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Предложение комбинированного продукта, инвестиционного или страхового продукта под видом банковского вклада.</w:t>
      </w:r>
    </w:p>
    <w:p w:rsidR="00C32F24" w:rsidRPr="00C32F24" w:rsidRDefault="00C32F24" w:rsidP="00C32F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hAnsi="Times New Roman" w:cs="Times New Roman"/>
          <w:color w:val="2B2E33"/>
          <w:spacing w:val="-3"/>
          <w:sz w:val="28"/>
          <w:szCs w:val="37"/>
        </w:rPr>
      </w:pPr>
      <w:r w:rsidRPr="00C32F24">
        <w:rPr>
          <w:rFonts w:ascii="Times New Roman" w:hAnsi="Times New Roman" w:cs="Times New Roman"/>
          <w:color w:val="2B2E33"/>
          <w:spacing w:val="-3"/>
          <w:sz w:val="28"/>
          <w:szCs w:val="37"/>
        </w:rPr>
        <w:t>Предложение услуг компаний, не имеющих лицензию Банка России (не входящих в реестр Банка России), под видом лицензированной деятельности.</w:t>
      </w:r>
    </w:p>
    <w:p w:rsidR="00C32F24" w:rsidRPr="00C32F24" w:rsidRDefault="00C32F24">
      <w:pPr>
        <w:rPr>
          <w:rFonts w:ascii="Times New Roman" w:hAnsi="Times New Roman" w:cs="Times New Roman"/>
        </w:rPr>
      </w:pPr>
    </w:p>
    <w:p w:rsidR="00C32F24" w:rsidRPr="00C32F24" w:rsidRDefault="00C32F24">
      <w:pPr>
        <w:rPr>
          <w:rFonts w:ascii="Times New Roman" w:hAnsi="Times New Roman" w:cs="Times New Roman"/>
        </w:rPr>
      </w:pPr>
    </w:p>
    <w:sectPr w:rsidR="00C32F24" w:rsidRPr="00C3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547C3"/>
    <w:multiLevelType w:val="multilevel"/>
    <w:tmpl w:val="9C9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51FD7"/>
    <w:multiLevelType w:val="multilevel"/>
    <w:tmpl w:val="8BB8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A680A"/>
    <w:multiLevelType w:val="multilevel"/>
    <w:tmpl w:val="351E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6D0191"/>
    <w:multiLevelType w:val="multilevel"/>
    <w:tmpl w:val="6946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ED1B11"/>
    <w:multiLevelType w:val="multilevel"/>
    <w:tmpl w:val="37A6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1A5653"/>
    <w:multiLevelType w:val="multilevel"/>
    <w:tmpl w:val="0CDA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F36899"/>
    <w:multiLevelType w:val="multilevel"/>
    <w:tmpl w:val="1BF0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67767B"/>
    <w:multiLevelType w:val="multilevel"/>
    <w:tmpl w:val="2A9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1B0332"/>
    <w:multiLevelType w:val="multilevel"/>
    <w:tmpl w:val="7C60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00"/>
    <w:rsid w:val="00C32F24"/>
    <w:rsid w:val="00FA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E784E-9A72-4B16-8CF3-DC64365B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F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F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ferenceable">
    <w:name w:val="referenceable"/>
    <w:basedOn w:val="a0"/>
    <w:rsid w:val="00C32F24"/>
  </w:style>
  <w:style w:type="character" w:customStyle="1" w:styleId="30">
    <w:name w:val="Заголовок 3 Знак"/>
    <w:basedOn w:val="a0"/>
    <w:link w:val="3"/>
    <w:uiPriority w:val="9"/>
    <w:semiHidden/>
    <w:rsid w:val="00C32F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3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C3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278">
          <w:marLeft w:val="0"/>
          <w:marRight w:val="0"/>
          <w:marTop w:val="0"/>
          <w:marBottom w:val="0"/>
          <w:divBdr>
            <w:top w:val="single" w:sz="6" w:space="0" w:color="E8E9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1604">
          <w:marLeft w:val="0"/>
          <w:marRight w:val="0"/>
          <w:marTop w:val="0"/>
          <w:marBottom w:val="0"/>
          <w:divBdr>
            <w:top w:val="single" w:sz="6" w:space="0" w:color="E8E9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56585">
          <w:marLeft w:val="0"/>
          <w:marRight w:val="0"/>
          <w:marTop w:val="0"/>
          <w:marBottom w:val="0"/>
          <w:divBdr>
            <w:top w:val="single" w:sz="6" w:space="0" w:color="E8E9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2922">
          <w:marLeft w:val="0"/>
          <w:marRight w:val="0"/>
          <w:marTop w:val="0"/>
          <w:marBottom w:val="0"/>
          <w:divBdr>
            <w:top w:val="single" w:sz="6" w:space="0" w:color="E8E9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4381">
          <w:marLeft w:val="0"/>
          <w:marRight w:val="0"/>
          <w:marTop w:val="0"/>
          <w:marBottom w:val="0"/>
          <w:divBdr>
            <w:top w:val="single" w:sz="6" w:space="0" w:color="E8E9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63B96-8E25-49D4-9E77-012E69D3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2024-09-26T09:09:00Z</dcterms:created>
  <dcterms:modified xsi:type="dcterms:W3CDTF">2024-09-26T09:11:00Z</dcterms:modified>
</cp:coreProperties>
</file>