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67" w:rsidRPr="00EF3CC3" w:rsidRDefault="00392D67" w:rsidP="00555CF5">
      <w:pPr>
        <w:spacing w:after="0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eastAsia="ru-RU"/>
        </w:rPr>
        <w:t xml:space="preserve"> </w:t>
      </w:r>
      <w:r w:rsidRPr="00EF3CC3">
        <w:rPr>
          <w:rFonts w:ascii="Times New Roman" w:hAnsi="Times New Roman"/>
          <w:sz w:val="28"/>
          <w:szCs w:val="28"/>
        </w:rPr>
        <w:t>Приложение 1</w:t>
      </w:r>
    </w:p>
    <w:p w:rsidR="00392D67" w:rsidRPr="00EF3CC3" w:rsidRDefault="00392D67" w:rsidP="00392D67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</w:rPr>
      </w:pPr>
      <w:r w:rsidRPr="00EF3CC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92D67" w:rsidRPr="00EF3CC3" w:rsidRDefault="00392D67" w:rsidP="00392D67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</w:rPr>
      </w:pPr>
      <w:r w:rsidRPr="00EF3CC3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EF3CC3">
        <w:rPr>
          <w:rFonts w:ascii="Times New Roman" w:hAnsi="Times New Roman"/>
          <w:sz w:val="28"/>
          <w:szCs w:val="28"/>
        </w:rPr>
        <w:br/>
        <w:t xml:space="preserve"> «</w:t>
      </w:r>
      <w:r>
        <w:rPr>
          <w:rFonts w:ascii="Times New Roman" w:hAnsi="Times New Roman"/>
          <w:sz w:val="28"/>
          <w:szCs w:val="28"/>
        </w:rPr>
        <w:t xml:space="preserve">Хасавюртовский </w:t>
      </w:r>
      <w:r w:rsidRPr="00EF3CC3">
        <w:rPr>
          <w:rFonts w:ascii="Times New Roman" w:hAnsi="Times New Roman"/>
          <w:sz w:val="28"/>
          <w:szCs w:val="28"/>
        </w:rPr>
        <w:t xml:space="preserve"> район»</w:t>
      </w:r>
    </w:p>
    <w:p w:rsidR="00392D67" w:rsidRPr="00FB1842" w:rsidRDefault="00392D67" w:rsidP="00392D67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  <w:u w:val="single"/>
        </w:rPr>
      </w:pPr>
      <w:r w:rsidRPr="00EF3CC3">
        <w:rPr>
          <w:rFonts w:ascii="Times New Roman" w:hAnsi="Times New Roman"/>
          <w:sz w:val="28"/>
          <w:szCs w:val="28"/>
        </w:rPr>
        <w:t xml:space="preserve">от </w:t>
      </w:r>
      <w:r w:rsidR="00FB1842" w:rsidRPr="00FB1842">
        <w:rPr>
          <w:rFonts w:ascii="Times New Roman" w:hAnsi="Times New Roman"/>
          <w:sz w:val="28"/>
          <w:szCs w:val="28"/>
          <w:u w:val="single"/>
        </w:rPr>
        <w:t>23 сентября</w:t>
      </w:r>
      <w:r w:rsidRPr="00FB1842">
        <w:rPr>
          <w:rFonts w:ascii="Times New Roman" w:hAnsi="Times New Roman"/>
          <w:sz w:val="28"/>
          <w:szCs w:val="28"/>
          <w:u w:val="single"/>
        </w:rPr>
        <w:t xml:space="preserve"> 2015 г</w:t>
      </w:r>
      <w:r w:rsidRPr="00EF3CC3">
        <w:rPr>
          <w:rFonts w:ascii="Times New Roman" w:hAnsi="Times New Roman"/>
          <w:sz w:val="28"/>
          <w:szCs w:val="28"/>
        </w:rPr>
        <w:t xml:space="preserve">. № </w:t>
      </w:r>
      <w:r w:rsidR="00FB1842" w:rsidRPr="00FB1842">
        <w:rPr>
          <w:rFonts w:ascii="Times New Roman" w:hAnsi="Times New Roman"/>
          <w:sz w:val="28"/>
          <w:szCs w:val="28"/>
          <w:u w:val="single"/>
        </w:rPr>
        <w:t>1226</w:t>
      </w:r>
    </w:p>
    <w:p w:rsidR="00392D67" w:rsidRPr="007819F4" w:rsidRDefault="00392D67" w:rsidP="00392D67">
      <w:pPr>
        <w:shd w:val="clear" w:color="auto" w:fill="FFFFFF"/>
        <w:spacing w:after="0" w:line="226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EF3CC3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b/>
          <w:bCs/>
          <w:color w:val="2D2D2D"/>
          <w:spacing w:val="1"/>
          <w:sz w:val="28"/>
          <w:szCs w:val="28"/>
          <w:lang w:eastAsia="ru-RU"/>
        </w:rPr>
        <w:t>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392D67" w:rsidRPr="007819F4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1. Общие положения</w:t>
      </w:r>
    </w:p>
    <w:p w:rsidR="00392D67" w:rsidRDefault="00392D67" w:rsidP="00392D67">
      <w:pPr>
        <w:shd w:val="clear" w:color="auto" w:fill="FFFFFF"/>
        <w:spacing w:after="0" w:line="226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1.1. 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в целях выявления положений, вводящих избыточные обязанности, запреты и ограничения для субъектов предпринимательской и инвестиционной деятельности (далее - субъекты) или способствующих их введению, а также положений, способствующих возникновению необоснованных расходов субъектов и бюджета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«Хасавюртовский район»</w:t>
      </w:r>
    </w:p>
    <w:p w:rsidR="00392D67" w:rsidRPr="007819F4" w:rsidRDefault="00392D67" w:rsidP="00392D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1.2. Оценке регулирующего воздействия (далее - ОРВ) подлежат проекты муниципальных нормативных правовых актов, затрагивающие вопросы осуществления предпринимательской и инвестиционной деятельности (дале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роекты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правовых актов).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1.3.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ОРВ проводится с учетом степени регулирующего воздействия положений, содержащихся в проекте правового акта: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а) высокая степень регулирующего воздействия - проект правового акта содержит положения, устанавливающие ранее не предусмотренные обязанности, запреты и ограничения для субъектов или способствующие установлению ранее не предусмотренных обязанностей, запретов и ограничений для субъектов, а также положения, приводящие к возникновению ранее не предусмотренных законодательством Российской Федерации и иными нормативными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правовыми актами расходов субъектов;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б) средняя степень регулирующего воздействия - проект правового акта содержит положения, изменяющие ранее предусмотренные обязанности, запреты и ограничения для субъектов или способствующие изменению ранее предусмотренных обязанностей, запретов и ограничений для субъектов, а также положения, приводящие к увеличению ранее предусмотренных законодательством Российской Федерации и иными нормативными правовыми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актами расходов субъектов;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в) низкая степень регулирующего воздействия - проект правового акта не содержит положений, предусмотренных подпунктами а,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настоящего пункта, но подлежит ОРВ в соответствии с пунктом 1.2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1.4. Процедура проведения ОРВ состоит из следующих этапов: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разработка проекта правового акта, составление сводного отчета о проведении ОРВ проекта правового акта и их публичное обсуждение;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подготовка заключения об ОРВ проекта правового акта (далее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–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заключение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об ОРВ).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1.5. Публичное обсуждение проекта правового акта и сводного отчета о проведении ОРВ проекта правового акта (далее - публичное обсуждение) включает в себя: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размещение информационного сообщения о проведении публичного обсуждения, текста проекта правового акта и сводного отчета о проведении ОРВ проекта правового акта на официальном сайте администрации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(далее - официальный сайт);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анализ поступивших предложений по проекту правового акта.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392D67" w:rsidRPr="007819F4" w:rsidRDefault="00392D67" w:rsidP="00392D67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2. Разработка проекта правового акта, составление сводного отчета о проведении ОРВ проекта правового акта и их публичное обсуждение</w:t>
      </w:r>
    </w:p>
    <w:p w:rsidR="00392D67" w:rsidRPr="007819F4" w:rsidRDefault="00392D67" w:rsidP="00392D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2.1. Разработчик проекта правового акта (далее - разработчик) обеспечивает размещение на официальном сайте: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информационного сообщения о проведении публичного обсуждения;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текста проекта правового акта;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сводного отчета о проведении ОРВ проекта правового акта (далее - сводный отчет).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2.2. Информационное сообщение о проведении публичного обсуждения должно содержать: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наименование проекта правового акта;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сведения о разработчике (наименование, юридический (почтовый) адрес, телефон, факс, адрес электронной почты);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срок проведения публичного обсуждения, в течение которого разработчиком принимаются предложения по проекту правового акта и способы их представления.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2.3. Сводный отчет составляется по форме согласно </w:t>
      </w:r>
      <w:hyperlink r:id="rId4" w:history="1">
        <w:r w:rsidRPr="007819F4">
          <w:rPr>
            <w:rFonts w:ascii="Times New Roman" w:eastAsia="Times New Roman" w:hAnsi="Times New Roman"/>
            <w:color w:val="00466E"/>
            <w:spacing w:val="1"/>
            <w:sz w:val="28"/>
            <w:szCs w:val="28"/>
            <w:u w:val="single"/>
            <w:lang w:eastAsia="ru-RU"/>
          </w:rPr>
          <w:t>приложению к Порядку</w:t>
        </w:r>
      </w:hyperlink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2.4. Срок проведения публичного обсуждения определяется разработчиком с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 xml:space="preserve">учетом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степени регулирующего воздействия положений проекта правового акта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и исчисляется со дня размещения материалов, указанных в пункте 2.1 Порядка, на официальном сайте и не может быть менее: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- 15 календарных дней - для проектов правовых актов, содержащих положения, имеющие высокую степень регулирующего воздействия;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10 календарных дней - для проектов правовых актов, содержащих положения, имеющие среднюю степень регулирующего воздействия;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- 7 календарных дней - для проектов правовых актов, содержащих положения, имеющие низкую степень регулирующего воздействия.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2.5.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При наличии в проекте правового акта положений, имеющих высокую или среднюю степень регулирующего воздействия, разработчик в течение одного рабочего дня со дня начала проведения публичного обсуждения направляет уведомление о проведении процедуры ОРВ как минимум в одну организацию, целью деятельности которой является защита и представление интересов субъектов.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Уведомление о проведении процедуры ОРВ должно содержать сведения, установленные пунктом 2.2 Порядка, а также сведения о размещении проекта правового акта и сводного отчета на официальном сайте с указанием полного электронного адреса размещения.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2.6. Разработчик обязан рассмотреть все предложения, поступившие в ходе проведения публичного обсуждения.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2.7. По результатам проведения публичного обсуждения разработчик осуществляет доработку проекта правового акта либо отказывается от дальнейшей подготовки проекта правового акта.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2.8. В случае доработки проекта правового акта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доработку проекта правового акта и сводного отчета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сводной информации о поступивших предложениях (далее - сводка поступивших предложений), в которой указываются сведения об авторе предложения, содержании предложения, сведения об учете либо основаниях отклонения предложения;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обеспечивает размещение доработанного проекта правового акта, сводного отчета и сводки поступивших предложений на официальном сайте;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доработанный проект правового акта, сводный отчет, сводку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 xml:space="preserve">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 территориального развития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администрации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</w:t>
      </w:r>
      <w:proofErr w:type="spellStart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Бабаюртовский</w:t>
      </w:r>
      <w:proofErr w:type="spell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(далее -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экономик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)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2.9. В случае отказа от дальнейшей подготовки проекта правового акта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обеспечивает размещение соответствующего информационного сообщения с указанием причин отказа и сводного отчета на официальном сайте.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2.10.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В случае отсутствия предложений по проекту правового акта по результатам публичного обсуждения либо отклонения разработчиком поступивших предложений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сводки поступивших предложений, в которой указываются сведения об авторе предложения, содержании предложения, основаниях отклонения предложения (при наличии поступивших предложений);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обеспечивает размещение доработанного сводного отчета и сводки поступивших предложений на официальном сайте;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проект правового акта, доработанный сводный отчет, сводку 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2.11. Если в результате доработки проекта правового акта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правового акта подлежит повторной процедуре ОРВ в соответствии с пунктами 2.1-2.10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392D67" w:rsidRPr="007819F4" w:rsidRDefault="00392D67" w:rsidP="00392D67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3. Подготовка заключения об ОРВ</w:t>
      </w:r>
    </w:p>
    <w:p w:rsidR="00392D67" w:rsidRPr="007819F4" w:rsidRDefault="00392D67" w:rsidP="00392D67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3.1. Заключение об ОРВ подготавливается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Управлением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экономик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в течение 10 рабочих дней со дня поступления документов, указанных в пунктах 2.8, 2.10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3.2. В заключении об ОРВ делается вывод: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- о соблюдении разработчиком процедур ОРВ, установленных Порядком;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 соответствии представленных документов требованиям, установленным Порядком;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 правильности определения разработчиком степени регулирующего воздействия проекта правового акта;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о наличии либо отсутствии в проекте правового акта положений, вводящих избыточные обязанности, запреты и ограничения для субъектов или способствующих их введению, а также положений, способствующих возникновению необоснованных расходов субъектов и бюджета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</w:t>
      </w:r>
      <w:proofErr w:type="spellStart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Бабаюртовский</w:t>
      </w:r>
      <w:proofErr w:type="spell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".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3.3.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вправе запрашивать у разработчика, структурных подразделений администрации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</w:t>
      </w:r>
      <w:proofErr w:type="spellStart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Бабаюртовский</w:t>
      </w:r>
      <w:proofErr w:type="spell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и иных заинтересованных лиц информацию и материалы по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3.4.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Управление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экономик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обеспечивает размещение заключения об ОРВ на официальном сайте и направляет его в адрес разработчика.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3.5. Замечания, содержащиеся в заключении об ОРВ, подлежат обязательному учету разработчиком.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3.6. После получения положительного заключения об ОРВ разработчик осуществляет согласование проекта правового акта в установленном порядке.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392D67" w:rsidRPr="007819F4" w:rsidRDefault="00392D67" w:rsidP="0054723E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4. Особенности проведения ОРВ проектов решений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Собрания депутатов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, разработчики которых не являются структурными подразделениями администрации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4.1. Разработчик проекта решения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Собрания депутатов </w:t>
      </w:r>
      <w:r w:rsidR="0054723E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="0054723E"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(далее - проект решения), затрагивающего вопросы осуществления предпринимательской и инвестиционной деятельности, подготавливает и направляет в адрес администрации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="0054723E"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те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кст пр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оекта решения и сводный отчет, составленный по форме согласно </w:t>
      </w:r>
      <w:hyperlink r:id="rId5" w:history="1">
        <w:r w:rsidRPr="007819F4">
          <w:rPr>
            <w:rFonts w:ascii="Times New Roman" w:eastAsia="Times New Roman" w:hAnsi="Times New Roman"/>
            <w:color w:val="00466E"/>
            <w:spacing w:val="1"/>
            <w:sz w:val="28"/>
            <w:szCs w:val="28"/>
            <w:u w:val="single"/>
            <w:lang w:eastAsia="ru-RU"/>
          </w:rPr>
          <w:t>приложению к Порядку</w:t>
        </w:r>
      </w:hyperlink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4.2. Проведение публичного обсуждения проекта решения и сводного отчета осуществляется структурным подразделением администрации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, к компетенции которого относится регулирование отношений, затрагиваемых проектом решения (далее - структурное подразделение), в соответствии с требованиями пунктов 2.1, 2.2, 2.4, 2.5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4.3. Предложения по проекту решения, поступившие по результатам проведения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публичного обсуждения, направляются структурным подразделением в адрес разработчика проекта решения.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При отсутствии предложений по проекту решения структурное подразделение направляет в адрес разработчика соответствующее уведомление.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4.4. По результатам рассмотрения предложений по проекту решения разработчик проекта решения осуществляет доработку проекта решения либо отказывается от дальнейшей подготовки проекта решения.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4.5. В случае доработки проекта решения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проект решения и сводный отчет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сводки поступивших предложений;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направляет доработанный проект решения, сводный отчет, сводку поступивших предложений в структурное подразделение для размещения на официальном сайте;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доработанный проект решения, сводный отчет, сводку 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4.6. В случае отказа от дальнейшей подготовки проекта решения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направляет соответствующее информационное сообщение с указанием оснований для отказа и сводный отчет в структурное подразделение для размещения на официальном сайте.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4.7. В случае отсутствия предложений по проекту решения по результатам публичного обсуждения либо отклонения разработчиком поступивших предложений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сводки поступивших предложений (при наличии поступивших предложений);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направляет доработанный сводный отчет и сводку поступивших предложений в структурное подразделение для размещения на официальном сайте;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проект решения, доработанный сводный отчет, сводку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 xml:space="preserve">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4.8.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Если в результате доработки проекта решения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решения и сводный отчет направляется разработчиком проекта решения в адрес структурного подразделения для повторного проведения процедуры ОРВ в соответствии с требованиями пунктов 2.1, 2.2, 2.4, 2.5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4.9.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После получения положительного заключения об ОРВ разработчик осуществляет внесение в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Собрания депутатов МР « 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проекта решения в установленном порядке.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54723E" w:rsidRDefault="0054723E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Pr="00B60369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  <w:r w:rsidRPr="00B60369"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  <w:t xml:space="preserve">Приложение к Порядку. </w:t>
      </w:r>
    </w:p>
    <w:p w:rsidR="00392D67" w:rsidRPr="00395F1B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b/>
          <w:bCs/>
          <w:color w:val="2D2D2D"/>
          <w:spacing w:val="1"/>
          <w:sz w:val="15"/>
          <w:szCs w:val="15"/>
          <w:lang w:eastAsia="ru-RU"/>
        </w:rPr>
      </w:pPr>
      <w:r w:rsidRPr="00395F1B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392D67" w:rsidRPr="00B60369" w:rsidRDefault="00392D67" w:rsidP="00392D67">
      <w:pPr>
        <w:shd w:val="clear" w:color="auto" w:fill="FFFFFF"/>
        <w:spacing w:after="0" w:line="22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  <w:r w:rsidRPr="00B60369">
        <w:rPr>
          <w:rFonts w:ascii="Arial" w:eastAsia="Times New Roman" w:hAnsi="Arial" w:cs="Arial"/>
          <w:b/>
          <w:bCs/>
          <w:color w:val="2D2D2D"/>
          <w:spacing w:val="1"/>
          <w:sz w:val="24"/>
          <w:szCs w:val="24"/>
          <w:lang w:eastAsia="ru-RU"/>
        </w:rPr>
        <w:t>Форма сводного отчета</w:t>
      </w:r>
    </w:p>
    <w:p w:rsidR="00392D67" w:rsidRPr="00B60369" w:rsidRDefault="00392D67" w:rsidP="00392D67">
      <w:pPr>
        <w:shd w:val="clear" w:color="auto" w:fill="FFFFFF"/>
        <w:spacing w:after="0" w:line="22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  <w:r w:rsidRPr="00B60369"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  <w:br/>
        <w:t>Сводный отчет о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75"/>
        <w:gridCol w:w="185"/>
        <w:gridCol w:w="2612"/>
        <w:gridCol w:w="370"/>
        <w:gridCol w:w="2783"/>
        <w:gridCol w:w="185"/>
        <w:gridCol w:w="185"/>
        <w:gridCol w:w="2585"/>
      </w:tblGrid>
      <w:tr w:rsidR="00392D67" w:rsidRPr="00B60369" w:rsidTr="002C43AE">
        <w:trPr>
          <w:trHeight w:val="15"/>
        </w:trPr>
        <w:tc>
          <w:tcPr>
            <w:tcW w:w="924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начало "___" __________20__г.</w:t>
            </w:r>
          </w:p>
          <w:p w:rsidR="00392D67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окончание "___" __________20__г.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1. Общая информация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Вид и наименование проекта правового акта: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Разработчик: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(указывается полное наименование разработчика)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Краткое содержание проекта правового акта: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Ф.И.О. 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должность 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телефон 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адрес электронной почты _____________________________________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2. Степень регулирующего воздействия проекта правового акта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Степень регулирующего воздействия: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степени регулирующего воздействия: 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3. Описание проблемы, на решение которой направлена разработка проекта правового акта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Формулировка проблемы: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негативных эффектов, возникающих в связи с наличием проблемы: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4. Описание цели разработки проекта правового акта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(текстовое описание)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5. Перечень действующих нормативных правовых актов Российской Федерации, Саратовской области, муниципальных правовых актов, поручений, решений, послуживших основанием для разработки проекта правового акта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/</w:t>
            </w:r>
            <w:proofErr w:type="spellStart"/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Наименование и реквизиты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6. Основные группы субъектов предпринимательской и инвестиционной деятельности, интересы которых будут затронуты в связи с принятием проекта правового акта</w:t>
            </w:r>
          </w:p>
        </w:tc>
      </w:tr>
      <w:tr w:rsidR="00392D67" w:rsidRPr="00B60369" w:rsidTr="002C43AE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Группа субъектов</w:t>
            </w: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Оценка количества субъектов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392D67" w:rsidRPr="00B60369" w:rsidTr="002C43AE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7. Новые функции, полномочия, обязанности и права органов местного самоуправления муниципального образования "Город Саратов" или сведения об их изменении, а также порядок их реализации</w:t>
            </w: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новых или изменения существующих функций, полномочий, обязанностей и прав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Порядок реализации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Оценка изменения трудозатрат и (или) потребностей в иных 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ресурсах</w:t>
            </w: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8. Оценка дополнительных расходов (доходов) бюджета муниципального образования "Город Саратов"</w:t>
            </w:r>
          </w:p>
        </w:tc>
      </w:tr>
      <w:tr w:rsidR="00392D67" w:rsidRPr="00B60369" w:rsidTr="002C43AE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 (указываются данные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из раздела 7)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расходов (доходов) бюджета муниципального образования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"Город Саратов"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Оценка расходов (доходов) бюджета муниципального образования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"Город Саратов"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(тыс. руб.), в том числе периодичность осуществления расходов (поступления доходов)</w:t>
            </w:r>
          </w:p>
        </w:tc>
      </w:tr>
      <w:tr w:rsidR="00392D67" w:rsidRPr="00B60369" w:rsidTr="002C43AE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9.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      </w: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Группа субъектов (указываются данные из раздела 6)</w:t>
            </w: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и количественная оценка расходов субъектов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Источники данных, послужившие основанием для количественной оценки расходов субъектов: 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расходов субъектов, не поддающихся количественной оценке: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10. Оценка рисков возникновения неблагоприятных последствий принятия (издания) правового акта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11. Предполагаемая дата вступления в силу правового акта, необходимость установления переходного периода и (или) отсрочки вступления в силу правового акта либо необходимость распространения положений правового акта на ранее возникшие отношения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Предполагаемая дата вступления в силу: __________________ 20__г.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Необходимость установления переходного периода и (или) отсрочки вступления в силу правового акта: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gramStart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есть</w:t>
            </w:r>
            <w:proofErr w:type="gramEnd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/нет; если есть, то необходимо указать соответствующие сроки)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Необходимость распространения положений правового акта на ранее возникшие отношения: 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gramStart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есть</w:t>
            </w:r>
            <w:proofErr w:type="gramEnd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/нет)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Обоснование необходимости установления переходного периода и (или) отсрочки 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вступления в силу правового акта либо распространения положений правового акта на ранее возникшие отношения: 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br/>
              <w:t>12. Сведения о проведенных публичных обсуждениях проекта правового акта</w:t>
            </w:r>
          </w:p>
        </w:tc>
      </w:tr>
      <w:tr w:rsidR="00392D67" w:rsidRPr="00B60369" w:rsidTr="002C43AE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Информация об организациях, в адрес которых направлялось уведомление о проведении процедуры ОРВ: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Результаты проведения публичных обсуждений: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количество поступивших замечаний и предложений 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решение, принятое по результатам публичных обсуждений 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причины принятия решения об отказе от дальнейшей подготовки проекта правового акта (при наличии) 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13. Иные сведения, которые, по мнению разработчика, позволяют оценить обоснованность принятия (издания) правового акта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Разработчик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 ___________ 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должность Ф.И.О. дата подпись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Примечание. Раздел 12 сводного отчета о проведении оценки регулирующего воздействия заполняется после проведения публичных обсуждений проекта правового акта.</w:t>
            </w:r>
          </w:p>
        </w:tc>
      </w:tr>
    </w:tbl>
    <w:p w:rsidR="00392D67" w:rsidRPr="00395F1B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sectPr w:rsidR="00392D67" w:rsidSect="00555CF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92D67"/>
    <w:rsid w:val="00032320"/>
    <w:rsid w:val="00052C25"/>
    <w:rsid w:val="00063894"/>
    <w:rsid w:val="00063C2D"/>
    <w:rsid w:val="000C78DD"/>
    <w:rsid w:val="001C4EC4"/>
    <w:rsid w:val="001E0B96"/>
    <w:rsid w:val="00392D67"/>
    <w:rsid w:val="004E7FB9"/>
    <w:rsid w:val="0054723E"/>
    <w:rsid w:val="00555CF5"/>
    <w:rsid w:val="00652AAA"/>
    <w:rsid w:val="006A7CE1"/>
    <w:rsid w:val="006E57F4"/>
    <w:rsid w:val="00705EFF"/>
    <w:rsid w:val="009D4B66"/>
    <w:rsid w:val="00AF456F"/>
    <w:rsid w:val="00D07269"/>
    <w:rsid w:val="00EE7E1F"/>
    <w:rsid w:val="00FB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2D67"/>
    <w:pPr>
      <w:spacing w:after="0" w:line="240" w:lineRule="auto"/>
      <w:jc w:val="center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D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67502181" TargetMode="External"/><Relationship Id="rId4" Type="http://schemas.openxmlformats.org/officeDocument/2006/relationships/hyperlink" Target="http://docs.cntd.ru/document/467502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Адильский</cp:lastModifiedBy>
  <cp:revision>2</cp:revision>
  <cp:lastPrinted>2015-09-23T07:47:00Z</cp:lastPrinted>
  <dcterms:created xsi:type="dcterms:W3CDTF">2016-04-27T06:48:00Z</dcterms:created>
  <dcterms:modified xsi:type="dcterms:W3CDTF">2016-04-27T06:48:00Z</dcterms:modified>
</cp:coreProperties>
</file>