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7159719B" w:rsidR="00797753" w:rsidRPr="00797753" w:rsidRDefault="00001964" w:rsidP="00AC044B">
      <w:pPr>
        <w:jc w:val="right"/>
        <w:rPr>
          <w:bCs/>
        </w:rPr>
      </w:pPr>
      <w:r>
        <w:rPr>
          <w:bCs/>
        </w:rPr>
        <w:t>30</w:t>
      </w:r>
      <w:r w:rsidR="00797753" w:rsidRPr="00797753">
        <w:rPr>
          <w:bCs/>
        </w:rPr>
        <w:t>.0</w:t>
      </w:r>
      <w:r>
        <w:rPr>
          <w:bCs/>
        </w:rPr>
        <w:t>6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6F81EC3D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01964">
        <w:t>19</w:t>
      </w:r>
      <w:r w:rsidRPr="00797753">
        <w:t>.0</w:t>
      </w:r>
      <w:r w:rsidR="00001964">
        <w:t>5</w:t>
      </w:r>
      <w:r w:rsidRPr="00797753">
        <w:t>.202</w:t>
      </w:r>
      <w:r w:rsidR="00A5624C">
        <w:t>2</w:t>
      </w:r>
      <w:r w:rsidRPr="00797753">
        <w:t xml:space="preserve">г. № </w:t>
      </w:r>
      <w:r w:rsidR="00001964">
        <w:t>136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073FB6D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01964" w:rsidRPr="00541548">
        <w:t>30 июня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2A9BD496" w:rsidR="00797753" w:rsidRPr="00797753" w:rsidRDefault="00797753" w:rsidP="00AC044B">
      <w:r w:rsidRPr="00797753">
        <w:t xml:space="preserve">Лот № </w:t>
      </w:r>
      <w:r w:rsidR="00001964">
        <w:t>8</w:t>
      </w:r>
      <w:r w:rsidRPr="00797753">
        <w:t xml:space="preserve"> – земельный участок</w:t>
      </w:r>
    </w:p>
    <w:p w14:paraId="54A849A1" w14:textId="018D27B7" w:rsidR="00A62989" w:rsidRPr="00001964" w:rsidRDefault="00797753" w:rsidP="00001964">
      <w:pPr>
        <w:tabs>
          <w:tab w:val="left" w:pos="284"/>
        </w:tabs>
        <w:ind w:right="-425"/>
        <w:jc w:val="both"/>
      </w:pPr>
      <w:r w:rsidRPr="00001964">
        <w:t xml:space="preserve">Местоположение земельного участка: </w:t>
      </w:r>
      <w:r w:rsidR="00001964" w:rsidRPr="00001964">
        <w:t>Земельный участок с кадастровым  номером 05:05:000112:196, расположенный по адресу: Республика Дагестан, Хасавюртовский  район,  с. Покровское, Категория земельного участка: земли сельскохозяйственного назначения. Площадь земельного участка 58678 кв.м. Вид разрешенного использования:</w:t>
      </w:r>
      <w:r w:rsidR="00001964">
        <w:t xml:space="preserve"> </w:t>
      </w:r>
      <w:r w:rsidR="00001964" w:rsidRPr="00001964">
        <w:t>для сельскохозяйственного использования. Вид права – аренда. Срок аренды – 49 лет.</w:t>
      </w:r>
    </w:p>
    <w:p w14:paraId="1A1CCDF5" w14:textId="571D9A3A" w:rsidR="00EE7F42" w:rsidRDefault="00EE7F42" w:rsidP="00AC044B"/>
    <w:p w14:paraId="5E15F7DC" w14:textId="7777777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44A389CE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8</w:t>
      </w:r>
      <w:r w:rsidRPr="00EE7F42">
        <w:rPr>
          <w:szCs w:val="22"/>
        </w:rPr>
        <w:t xml:space="preserve"> – </w:t>
      </w:r>
      <w:r w:rsidR="00001964" w:rsidRPr="00001964">
        <w:rPr>
          <w:bCs/>
        </w:rPr>
        <w:t>13484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001964" w:rsidRPr="00001964">
        <w:rPr>
          <w:rFonts w:eastAsia="Times New Roman"/>
          <w:lang w:eastAsia="ru-RU"/>
        </w:rPr>
        <w:t>Тринадцать тысяч четыреста восемьдесят четыре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4B690271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01964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001964">
        <w:t>404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04756">
        <w:rPr>
          <w:sz w:val="22"/>
          <w:szCs w:val="22"/>
        </w:rPr>
        <w:t>в газете «Дагестанская правда»</w:t>
      </w:r>
      <w:r w:rsidR="00511BA9">
        <w:rPr>
          <w:sz w:val="22"/>
          <w:szCs w:val="22"/>
        </w:rPr>
        <w:t>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21A32C2A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4F13DA">
        <w:rPr>
          <w:szCs w:val="22"/>
        </w:rPr>
        <w:t>8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55D323EC" w14:textId="77777777" w:rsidR="000D26CC" w:rsidRPr="004F13DA" w:rsidRDefault="000D26CC" w:rsidP="00511BA9">
            <w:pPr>
              <w:jc w:val="center"/>
            </w:pPr>
          </w:p>
          <w:p w14:paraId="647E81BE" w14:textId="77777777" w:rsidR="00001964" w:rsidRPr="004F13DA" w:rsidRDefault="00001964" w:rsidP="0000196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13DA">
              <w:rPr>
                <w:rFonts w:ascii="Times New Roman" w:hAnsi="Times New Roman" w:cs="Times New Roman"/>
                <w:sz w:val="24"/>
                <w:szCs w:val="24"/>
              </w:rPr>
              <w:t>Стамбулов Висраил Жабраилович</w:t>
            </w:r>
          </w:p>
          <w:p w14:paraId="2015EC07" w14:textId="003A5F6D" w:rsidR="0021163C" w:rsidRPr="004F13DA" w:rsidRDefault="0021163C" w:rsidP="00511BA9">
            <w:pPr>
              <w:jc w:val="center"/>
            </w:pP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18C5AF11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01964" w:rsidRPr="004F13DA">
              <w:t>45</w:t>
            </w:r>
            <w:r w:rsidRPr="004F13DA">
              <w:t xml:space="preserve"> от 0</w:t>
            </w:r>
            <w:r w:rsidR="00001964" w:rsidRPr="004F13DA">
              <w:t>7</w:t>
            </w:r>
            <w:r w:rsidRPr="004F13DA">
              <w:t>.0</w:t>
            </w:r>
            <w:r w:rsidR="00001964" w:rsidRPr="004F13DA">
              <w:t>6</w:t>
            </w:r>
            <w:r w:rsidRPr="004F13DA">
              <w:t>.2022 г.</w:t>
            </w:r>
          </w:p>
          <w:p w14:paraId="171E9142" w14:textId="11DB5DCA" w:rsidR="00511BA9" w:rsidRPr="004F13DA" w:rsidRDefault="00511BA9" w:rsidP="00511BA9">
            <w:pPr>
              <w:jc w:val="center"/>
            </w:pPr>
            <w:r w:rsidRPr="004F13DA">
              <w:t>1</w:t>
            </w:r>
            <w:r w:rsidR="00001964" w:rsidRPr="004F13DA">
              <w:t>3</w:t>
            </w:r>
            <w:r w:rsidRPr="004F13DA">
              <w:t xml:space="preserve"> ч.</w:t>
            </w:r>
            <w:r w:rsidR="00001964" w:rsidRPr="004F13DA">
              <w:t>28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39F91322" w14:textId="77777777" w:rsidR="000D26CC" w:rsidRPr="004F13DA" w:rsidRDefault="000D26CC" w:rsidP="000D26CC">
            <w:pPr>
              <w:jc w:val="center"/>
            </w:pPr>
          </w:p>
          <w:p w14:paraId="376CC38C" w14:textId="77777777" w:rsidR="004F13DA" w:rsidRPr="004F13DA" w:rsidRDefault="004F13DA" w:rsidP="004F13D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7299965"/>
            <w:r w:rsidRPr="004F13DA">
              <w:rPr>
                <w:rFonts w:ascii="Times New Roman" w:hAnsi="Times New Roman" w:cs="Times New Roman"/>
                <w:sz w:val="24"/>
                <w:szCs w:val="24"/>
              </w:rPr>
              <w:t>Бийболатов Артур Асрудинович</w:t>
            </w:r>
          </w:p>
          <w:bookmarkEnd w:id="0"/>
          <w:p w14:paraId="2C28007D" w14:textId="77777777" w:rsidR="000D26CC" w:rsidRPr="004F13DA" w:rsidRDefault="000D26CC" w:rsidP="000D26CC">
            <w:pPr>
              <w:jc w:val="center"/>
            </w:pP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45B3D69F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4F13DA" w:rsidRPr="004F13DA">
              <w:t>67</w:t>
            </w:r>
            <w:r w:rsidRPr="004F13DA">
              <w:t xml:space="preserve"> от </w:t>
            </w:r>
            <w:r w:rsidR="004F13DA" w:rsidRPr="004F13DA">
              <w:t>23</w:t>
            </w:r>
            <w:r w:rsidRPr="004F13DA">
              <w:t>.0</w:t>
            </w:r>
            <w:r w:rsidR="004F13DA" w:rsidRPr="004F13DA">
              <w:t>6</w:t>
            </w:r>
            <w:r w:rsidRPr="004F13DA">
              <w:t>.2022 г.</w:t>
            </w:r>
          </w:p>
          <w:p w14:paraId="3EAA84CE" w14:textId="66673760" w:rsidR="000D26CC" w:rsidRPr="004F13DA" w:rsidRDefault="00511BA9" w:rsidP="00511BA9">
            <w:pPr>
              <w:jc w:val="center"/>
            </w:pPr>
            <w:r w:rsidRPr="004F13DA">
              <w:t>1</w:t>
            </w:r>
            <w:r w:rsidR="004F13DA" w:rsidRPr="004F13DA">
              <w:t>4</w:t>
            </w:r>
            <w:r w:rsidRPr="004F13DA">
              <w:t xml:space="preserve"> ч.</w:t>
            </w:r>
            <w:r w:rsidR="004F13DA" w:rsidRPr="004F13DA">
              <w:t>3</w:t>
            </w:r>
            <w:r w:rsidRPr="004F13DA">
              <w:t>0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7D17C99D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4F13DA">
        <w:rPr>
          <w:szCs w:val="22"/>
        </w:rPr>
        <w:t>8</w:t>
      </w:r>
      <w:r w:rsidRPr="003A3975">
        <w:rPr>
          <w:szCs w:val="22"/>
        </w:rPr>
        <w:t xml:space="preserve"> победителем признан участник под №</w:t>
      </w:r>
      <w:r w:rsidR="004F13DA">
        <w:rPr>
          <w:szCs w:val="22"/>
        </w:rPr>
        <w:t>1</w:t>
      </w:r>
      <w:r w:rsidRPr="003A3975">
        <w:rPr>
          <w:szCs w:val="22"/>
        </w:rPr>
        <w:t xml:space="preserve">, предложивший максимальную цену в размере </w:t>
      </w:r>
      <w:r w:rsidR="004F13DA" w:rsidRPr="004F13DA">
        <w:rPr>
          <w:bCs/>
        </w:rPr>
        <w:t>13484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№1.</w:t>
      </w:r>
    </w:p>
    <w:p w14:paraId="28EF4871" w14:textId="7359CE10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090677">
        <w:rPr>
          <w:szCs w:val="22"/>
        </w:rPr>
        <w:t>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4FE2C023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4F13DA">
        <w:rPr>
          <w:szCs w:val="22"/>
        </w:rPr>
        <w:t>8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1EB6AD76" w:rsidR="00585C0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4F13DA" w:rsidRPr="004F13DA">
        <w:rPr>
          <w:rFonts w:ascii="Times New Roman" w:hAnsi="Times New Roman" w:cs="Times New Roman"/>
          <w:sz w:val="24"/>
          <w:szCs w:val="24"/>
        </w:rPr>
        <w:t>Стамбулов Висраил Жабраилович</w:t>
      </w:r>
      <w:r w:rsidR="004F13D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2E3C9375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523102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6218CA46" w:rsidR="00585C09" w:rsidRDefault="00585C09" w:rsidP="00585C09">
      <w:r w:rsidRPr="00585C09">
        <w:t>Таблица шагов по лоту №</w:t>
      </w:r>
      <w:r w:rsidR="004F13DA"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22"/>
        <w:gridCol w:w="2336"/>
        <w:gridCol w:w="2311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6FB5AC1" w14:textId="401C8EBE" w:rsidR="00D624B7" w:rsidRDefault="004F13DA" w:rsidP="000B2D0F">
            <w:pPr>
              <w:jc w:val="center"/>
            </w:pPr>
            <w:r w:rsidRPr="00001964">
              <w:t>Земельный участок с кадастровым  номером 05:05:000112:196, расположенный по адресу: Республика Дагестан, Хасавюртовский  район,  с. Покровское, Категория земельного участка: земли сельскохозяйственного назначения. Площадь земельного участка 58678 кв.м. Вид разрешенного использования:</w:t>
            </w:r>
            <w:r>
              <w:t xml:space="preserve"> </w:t>
            </w:r>
            <w:r w:rsidRPr="00001964">
              <w:t>для сельскохозяйственного использования. Вид права – аренда. Срок аренды – 49 лет.</w:t>
            </w:r>
          </w:p>
        </w:tc>
        <w:tc>
          <w:tcPr>
            <w:tcW w:w="2393" w:type="dxa"/>
          </w:tcPr>
          <w:p w14:paraId="10C9A6A7" w14:textId="77777777" w:rsidR="004F13DA" w:rsidRDefault="004F13DA" w:rsidP="00D624B7">
            <w:pPr>
              <w:jc w:val="center"/>
              <w:rPr>
                <w:szCs w:val="22"/>
              </w:rPr>
            </w:pPr>
            <w:r w:rsidRPr="00001964">
              <w:rPr>
                <w:bCs/>
              </w:rPr>
              <w:t>13484</w:t>
            </w:r>
            <w:r>
              <w:rPr>
                <w:szCs w:val="22"/>
              </w:rPr>
              <w:t xml:space="preserve"> </w:t>
            </w:r>
          </w:p>
          <w:p w14:paraId="43D55B41" w14:textId="16B74B1F" w:rsidR="00D624B7" w:rsidRDefault="004F13DA" w:rsidP="00D624B7">
            <w:pPr>
              <w:jc w:val="center"/>
            </w:pPr>
            <w:r w:rsidRPr="00A419C0">
              <w:rPr>
                <w:rFonts w:eastAsia="Times New Roman"/>
                <w:lang w:eastAsia="ru-RU"/>
              </w:rPr>
              <w:t>(</w:t>
            </w:r>
            <w:r w:rsidRPr="00001964">
              <w:rPr>
                <w:rFonts w:eastAsia="Times New Roman"/>
                <w:lang w:eastAsia="ru-RU"/>
              </w:rPr>
              <w:t>Тринадцать тысяч четыреста восемьдесят четыре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22C6D98D" w14:textId="77777777" w:rsidR="00C1261D" w:rsidRDefault="00C1261D" w:rsidP="00C1261D">
            <w:pPr>
              <w:jc w:val="center"/>
              <w:rPr>
                <w:szCs w:val="22"/>
              </w:rPr>
            </w:pPr>
            <w:r w:rsidRPr="00001964">
              <w:rPr>
                <w:bCs/>
              </w:rPr>
              <w:t>13484</w:t>
            </w:r>
            <w:r>
              <w:rPr>
                <w:szCs w:val="22"/>
              </w:rPr>
              <w:t xml:space="preserve"> </w:t>
            </w:r>
          </w:p>
          <w:p w14:paraId="6B1AAED8" w14:textId="4194BE9B" w:rsidR="00D624B7" w:rsidRDefault="00C1261D" w:rsidP="00C1261D">
            <w:pPr>
              <w:jc w:val="center"/>
            </w:pPr>
            <w:r w:rsidRPr="00A419C0">
              <w:rPr>
                <w:rFonts w:eastAsia="Times New Roman"/>
                <w:lang w:eastAsia="ru-RU"/>
              </w:rPr>
              <w:t>(</w:t>
            </w:r>
            <w:r w:rsidRPr="00001964">
              <w:rPr>
                <w:rFonts w:eastAsia="Times New Roman"/>
                <w:lang w:eastAsia="ru-RU"/>
              </w:rPr>
              <w:t>Тринадцать тысяч четыреста восемьдесят четыре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2A1B91BC" w:rsidR="00D624B7" w:rsidRDefault="00C1261D" w:rsidP="00C1261D">
            <w:pPr>
              <w:jc w:val="center"/>
            </w:pPr>
            <w:r>
              <w:t>404 (</w:t>
            </w:r>
            <w:r w:rsidRPr="00C1261D">
              <w:t>Четыреста четыре</w:t>
            </w:r>
            <w:r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90677"/>
    <w:rsid w:val="000B2D0F"/>
    <w:rsid w:val="000D26CC"/>
    <w:rsid w:val="000F1211"/>
    <w:rsid w:val="00124853"/>
    <w:rsid w:val="00137BA7"/>
    <w:rsid w:val="0021163C"/>
    <w:rsid w:val="00340E75"/>
    <w:rsid w:val="0034424F"/>
    <w:rsid w:val="003A3975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3527D"/>
    <w:rsid w:val="008979FF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27</cp:revision>
  <cp:lastPrinted>2022-03-18T12:47:00Z</cp:lastPrinted>
  <dcterms:created xsi:type="dcterms:W3CDTF">2020-03-03T12:35:00Z</dcterms:created>
  <dcterms:modified xsi:type="dcterms:W3CDTF">2022-06-30T13:14:00Z</dcterms:modified>
</cp:coreProperties>
</file>