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139" w:rsidRPr="00B70DB3" w:rsidRDefault="005C7139" w:rsidP="005C7139">
      <w:pPr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</w:p>
    <w:p w:rsidR="005C7139" w:rsidRPr="00F96978" w:rsidRDefault="00C62E52" w:rsidP="00C62E52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F9697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Утвержд</w:t>
      </w:r>
      <w:r w:rsidR="00F96978" w:rsidRPr="00F9697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ен</w:t>
      </w:r>
      <w:r w:rsidRPr="00F9697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:</w:t>
      </w:r>
    </w:p>
    <w:p w:rsidR="00533ADC" w:rsidRDefault="00533ADC" w:rsidP="007914D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П</w:t>
      </w:r>
      <w:r w:rsidR="00D15812" w:rsidRPr="00F9697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остановление</w:t>
      </w:r>
      <w:r w:rsidR="007914D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главы администрации</w:t>
      </w:r>
    </w:p>
    <w:p w:rsidR="00533ADC" w:rsidRDefault="00533ADC" w:rsidP="007914D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МО «Хасавюртовский район»</w:t>
      </w:r>
    </w:p>
    <w:p w:rsidR="007914D8" w:rsidRDefault="004F1782" w:rsidP="007914D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533ADC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№</w:t>
      </w:r>
      <w:r w:rsidR="000830B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0830B9" w:rsidRPr="000830B9">
        <w:rPr>
          <w:rFonts w:ascii="Times New Roman" w:eastAsia="Times New Roman" w:hAnsi="Times New Roman" w:cs="Times New Roman"/>
          <w:b/>
          <w:color w:val="3C3C3C"/>
          <w:sz w:val="24"/>
          <w:szCs w:val="24"/>
          <w:u w:val="single"/>
          <w:lang w:eastAsia="ru-RU"/>
        </w:rPr>
        <w:t>839</w:t>
      </w:r>
      <w:r w:rsidR="00C62E52" w:rsidRPr="00F9697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от</w:t>
      </w:r>
      <w:r w:rsidR="000830B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 </w:t>
      </w:r>
      <w:r w:rsidR="000830B9">
        <w:rPr>
          <w:rFonts w:ascii="Times New Roman" w:eastAsia="Times New Roman" w:hAnsi="Times New Roman" w:cs="Times New Roman"/>
          <w:b/>
          <w:color w:val="3C3C3C"/>
          <w:sz w:val="24"/>
          <w:szCs w:val="24"/>
          <w:u w:val="single"/>
          <w:lang w:eastAsia="ru-RU"/>
        </w:rPr>
        <w:t xml:space="preserve">29 июня </w:t>
      </w:r>
      <w:r w:rsidR="00C62E52" w:rsidRPr="00F9697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2015г</w:t>
      </w:r>
      <w:r w:rsidR="00C62E52" w:rsidRPr="00F96978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t>.</w:t>
      </w:r>
      <w:r w:rsidR="007914D8" w:rsidRPr="007914D8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</w:p>
    <w:p w:rsidR="007914D8" w:rsidRPr="00F96978" w:rsidRDefault="007914D8" w:rsidP="007914D8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</w:p>
    <w:p w:rsidR="00C62E52" w:rsidRPr="00F96978" w:rsidRDefault="00C62E52" w:rsidP="00C62E52">
      <w:pPr>
        <w:shd w:val="clear" w:color="auto" w:fill="FFFFFF"/>
        <w:spacing w:after="0" w:line="288" w:lineRule="atLeast"/>
        <w:jc w:val="right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C62E52" w:rsidRPr="00C62E52" w:rsidRDefault="00C62E52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</w:p>
    <w:p w:rsidR="00D15812" w:rsidRDefault="00D15812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</w:p>
    <w:p w:rsidR="005C7139" w:rsidRPr="00B70DB3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B70DB3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Положение</w:t>
      </w:r>
      <w:r w:rsidRPr="00B70DB3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br/>
        <w:t>о порядке размещения и фу</w:t>
      </w:r>
      <w:r w:rsidR="000C216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нкционирования нестационарных </w:t>
      </w:r>
      <w:r w:rsidRPr="00B70DB3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торговых объектов на территории</w:t>
      </w:r>
      <w:r w:rsidR="000C216B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МО </w:t>
      </w:r>
      <w:r w:rsidRPr="00B70DB3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 xml:space="preserve">  «Хасавюртовский район»</w:t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</w:pPr>
      <w:r w:rsidRPr="00B70DB3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8"/>
          <w:szCs w:val="28"/>
          <w:lang w:eastAsia="ru-RU"/>
        </w:rPr>
        <w:t>I. Общие положения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A157D5">
        <w:rPr>
          <w:rFonts w:ascii="Times New Roman" w:eastAsia="Times New Roman" w:hAnsi="Times New Roman" w:cs="Times New Roman"/>
          <w:color w:val="2D2D2D"/>
          <w:sz w:val="12"/>
          <w:szCs w:val="12"/>
          <w:lang w:eastAsia="ru-RU"/>
        </w:rPr>
        <w:br/>
      </w:r>
      <w:r w:rsidRPr="00531C52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1.1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.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Настоящее положение разработано в соответствии с </w:t>
      </w:r>
      <w:hyperlink r:id="rId5" w:history="1">
        <w:r w:rsidRPr="005C7139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Федеральным законом от 06.10.2003 N 131-ФЗ "Об общих принципах организации местного самоуправления в Российской Федерации"</w:t>
        </w:r>
      </w:hyperlink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 </w:t>
      </w:r>
      <w:hyperlink r:id="rId6" w:history="1">
        <w:r w:rsidRPr="005C7139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Федеральным законом от 28.12.2009 N 381-ФЗ "Об основах государственного регулирования торговой деятельности в Российской Федерации"</w:t>
        </w:r>
      </w:hyperlink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в целях упорядочения размещения нестационарных торговых объектов, создания условий для улучшения организации и качества торгового обслуживания населения МО «Хасавюртовский район»</w:t>
      </w:r>
      <w:proofErr w:type="gramEnd"/>
    </w:p>
    <w:p w:rsidR="005C7139" w:rsidRPr="005C7139" w:rsidRDefault="005C7139" w:rsidP="000C216B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1.2. Настоящее положение определяет порядок и основания для размещения нестационарных торговых объектов на территории МО «Хасавюртовский район».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1.3. Нестационарные торговые объекты не являются недвижимым имуществом, не подлежат техническому учету в бюро технической инвентаризации, права на них не подлежат регистрации в Едином государственном реестре прав на недвижимое имущество и</w:t>
      </w:r>
      <w:r w:rsid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с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делок с ним.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1.4. Требования, предусмотренные настоящим положением, не распространяются на отношения, связанные с размещением нестационарных торговых объектов: при проведении праздничных, общественно-политических, культурно-массовых и спортивно-массовых мероприятий, имеющих временный характер, при проведении </w:t>
      </w:r>
      <w:proofErr w:type="spell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ярмарок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,в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ыставок-ярмарок</w:t>
      </w:r>
      <w:proofErr w:type="spell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II. Основные понятия и их определения</w:t>
      </w:r>
    </w:p>
    <w:p w:rsidR="005C7139" w:rsidRPr="005C7139" w:rsidRDefault="005C7139" w:rsidP="000C216B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В настоящем положении применяются следующие основные понятия: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2.1. розничная торговля - вид торговой деятельности, связанный с приобретением и продажей товаров для использования их в личных, семейных, домашних и иных целях, не связанных с осуществлением предпринимательской деятельности;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2.2. субъект торговли - юридическое лицо или индивидуальный предприниматель, занимающиеся торговлей и зарегистрированные в установленном порядке;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2.3. нестационарный торговый объект - торговый объект, не относящийся к объектам капитального строительства и не являющийся объектом недвижимости, представляющий собой временное сооружение или временную конструкцию, не связанные прочно с земельным участком вне зависимости от наличия или отсутствия подключения (технологического присоединения) к сетям инженерно-технического обеспечения, в том числе передвижное сооружение (передвижные средства развозной и разносной уличной торговли,</w:t>
      </w:r>
      <w:r w:rsid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бахчевые</w:t>
      </w:r>
      <w:r w:rsid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развалы</w:t>
      </w:r>
      <w:r w:rsid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и</w:t>
      </w:r>
      <w:r w:rsidR="000C216B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так далее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);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2.4. торговый автомат - временное техническое сооружение или временная конструкция, предназначенные для продажи товаров (выполнения работ, оказания услуг) без участия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продавца;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2.5. бахчевой развал - специально оборудованная временная конструкция, представляющая собой площадку для продажи бахчевых культур;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2.6. сезонное кафе - специально оборудованное временное сооружение, в том числе при стационарном предприятии, представляющее собой площадку для размещения предприятия общественного питания в целях дополнительного обслуживания питанием и отдыха потребителей (или исключая последнее);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2.7. передвижные сооружения (передвижные торговые объекты) - </w:t>
      </w:r>
      <w:proofErr w:type="spell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автомагазины</w:t>
      </w:r>
      <w:proofErr w:type="spell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(автолавки, автоприцепы), </w:t>
      </w:r>
      <w:proofErr w:type="spell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автокафе</w:t>
      </w:r>
      <w:proofErr w:type="spell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изотермические емкости и цистерны, тележки, лотки, палатки, корзины и иные специальные приспособления.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proofErr w:type="gramEnd"/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III. Требования к размещению и внешнему виду</w:t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br/>
        <w:t> нестационарных торговых объектов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3.1. Размещение нестационарных торговых объектов осуществляется на основании схемы размещения и должно соответствовать действующим градостроительным, строительным, архитектурным, пожарным, санитарным и иным нормам, правилам и нормативам, комплексному решению существующей архитектурной среды МО «Хасавюртовский район» 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3.2. В случае расположения нестационарных торговых объектов в пределах красных линий улиц и дорог их размещение возможно лишь на замощенной (асфальтированной) площадке в границах тротуара и при условии соблюдения свободной ширины прохода по тротуару не менее 2 метров от крайнего элемента объекта торговли до края проезжей части.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3.3. При размещении нестационарных торговых объектов должен быть предусмотрен удобный подъезд автотранспорта, не создающий помех для прохода пешеходов. Разгрузку товара требуется осуществлять без заезда автомашин на тротуар.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3.4. Размещаемые нестационарные торговые объекты не должны препятствовать доступу пожарных подразделений к существующим зданиям и сооружениям.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3.5. Не допускается размещать у нестационарных торговых объектов (кроме передвижных средств развозной и разносной уличной торговли) холодильное оборудование, столики, зонтики и другие подобные объекты, за исключением случаев, когда размещение подобных объектов предусмотрено типовым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архитектурным решением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3.6. Нестационарные торговые объекты, для которых, исходя из их функционального назначения, а также по санитарно-гигиеническим требованиям и нормативам, требуется подключение к сетям водоснабжения и канализации, могут размещаться лишь вблизи инженерных коммуникаций при наличии технической возможности подключения.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3.7. Требования к нестационарным торговым объектам (внешний вид, размеры, площадь, конструктивная схема и иные требования) определяются утвержденными типовыми проектами.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IV. Порядок размещения и эксплуатации нестационарных</w:t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br/>
        <w:t> торговых объектов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4.1. Размещение нестационарных торговых объектов на территории МО «Хасавюртовский район» осуществляется в местах, определенных схемой размещения нестационарных торговых объектов, утвержденной постановлением главы администрации МО «Хасавюртовский район»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4.2. Основанием для установки (монтажа) субъектов торговли нестационарного торгового объекта на территории МО «Хасавюртовский район» является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договор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 xml:space="preserve">заключенный с главой </w:t>
      </w:r>
      <w:r w:rsidR="001B63E8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администрации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МО «Хасавюртовский район» на размещение нестационарного торгового объекта.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Договор на размещение передвижных средств развозной и разносной уличной торговли заключается на срок не более одного года.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4.3. Основанием для эксплуатации субъектом торговли нестационарного торгового объекта на территории МО «Хасавюртовский район» является разрешение главы администрации  на открытие торговой точки.</w:t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V. Допуск к эксплуатации установленных </w:t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br/>
        <w:t>нестационарных торговых объектов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5.1. Эксплуатация установленных нестационарных торговых объектов разрешается в случае, если такие объекты размещены в соответствии с требованиями, указанными в Договоре.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5.2. В целях осмотра нестационарных торговых объектов на предмет соответствия требованиям, указанным в </w:t>
      </w:r>
      <w:hyperlink r:id="rId7" w:history="1">
        <w:r w:rsidRPr="005C7139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пункте 5.1 настоящего положения</w:t>
        </w:r>
      </w:hyperlink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, отделом строительства, архитектуры и ЖКХ МО «Хасавюртовский район» создается приемочная комиссия.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5.3. Нестационарный торговый объект, размещенный в соответствии с требованиями, указанными в Договоре, и типовым проектом, должен быть не позднее одного месяца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с даты заключения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Договора предъявлен для осмотра приемочной комиссии.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5.4. Для осмотра нестационарного торгового объекта приемочной комиссией субъект торговли направляет в МО «Хасавюртовский район» соответствующее обращение. Приемочная комиссия в целях осмотра нестационарного торгового объекта созывается в пятидневный срок с момента обращения.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5.5. По результатам осмотра нестационарного торгового объекта составляется акт приемочной комиссии, утверждаемый главой администрации МО «Хасавюртовский район» в течение пяти дней с момента осмотра. Утвержденный акт приемочной комиссии подтверждает соответствие нестационарного торгового объекта типовому проекту и требованиям, указанным в Договоре.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5.6. В случае если нестационарный торговый объект эксплуатируется без утвержденного акта приемочной комиссии, действие Договора прекращается уполномоченным органом в одностороннем порядке, нестационарный торговый объект подлежит демонтажу. </w:t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VI. Порядок досрочного прекращения</w:t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br/>
        <w:t> действия Договора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6.1. Действие Договора прекращается администрацией МО «Хасавюртовский район» досрочно в одностороннем порядке в следующих случаях: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а) подача субъектом торговли соответствующего заявления;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б) прекращение субъектом торговли в установленном законом порядке своей деятельности;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в) наличие более двух фактов реализации групп товаров, не предусмотренных для данного места размещения нестационарного торгового объекта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.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ч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то подтверждено соответствующими актами проверок;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г) не предъявление в течение установленного срока нестационарного торгового объекта для осмотра приемочной комиссии;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proofErr w:type="spell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д</w:t>
      </w:r>
      <w:proofErr w:type="spell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) эксплуатация нестационарного торгового объекта без разрешения администрации, выявление несоответствия нестационарного торгового объекта в натуре типовому проекту (изменение внешнего вида, размеров, площади нестационарного торгового объекта в ходе его эксплуатации, возведение пристроек, надстройка дополнительных антресолей и этажей);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ж) невнесение субъектом торговли оплаты по Договору в соответствии с условиями Договора;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</w:r>
      <w:proofErr w:type="spell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lastRenderedPageBreak/>
        <w:t>з</w:t>
      </w:r>
      <w:proofErr w:type="spell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) принятие органом местного самоуправления следующих решений: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- о необходимости ремонта и (или) реконструкции автомобильных дорог, в случае если нахождение нестационарного торгового объекта препятствует осуществлению указанных работ;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-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об использовании территории, занимаемой нестационарным торговым объектом, для целей, связанных с развитием улично-дорожной сети, размещением остановок  общественного транспорта, оборудованием бордюров, организацией парковочных карманов;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- о размещении объектов капитального строительства регионального и муниципального значения;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и) установка холодильного и иного сопутствующего выносного оборудования за пределами нестационарного торгового объекта.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Данное требование не распространяется на передвижные средства развозной и разносной торговли;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к) иные предусмотренные действующим законодательством случаи.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6.2. В случае досрочного прекращения действия Договора нестационарный торговый объект подлежит демонтажу субъектом торговли в течение 10 дней со дня получения им уведомления о расторжении Договора. 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6.3. В случае досрочного прекращения действия Договора по основаниям, предусмотренным подпунктом "</w:t>
      </w:r>
      <w:proofErr w:type="spell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з</w:t>
      </w:r>
      <w:proofErr w:type="spell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" </w:t>
      </w:r>
      <w:hyperlink r:id="rId8" w:history="1">
        <w:r w:rsidRPr="005C7139">
          <w:rPr>
            <w:rFonts w:ascii="Times New Roman" w:eastAsia="Times New Roman" w:hAnsi="Times New Roman" w:cs="Times New Roman"/>
            <w:color w:val="00466E"/>
            <w:sz w:val="24"/>
            <w:szCs w:val="24"/>
            <w:u w:val="single"/>
            <w:lang w:eastAsia="ru-RU"/>
          </w:rPr>
          <w:t>пункта 6.1 настоящего положения</w:t>
        </w:r>
      </w:hyperlink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, нестационарные торговые объекты по согласованию с уполномоченным органом подлежат переносу на свободные места, предусмотренные схемой размещения нестационарных торговых объектов. </w:t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VII. Порядок демонтажа нестационарных</w:t>
      </w:r>
      <w:r w:rsidRPr="005C7139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br/>
        <w:t> торговых объектов</w:t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both"/>
        <w:textAlignment w:val="baseline"/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>7.1. Нестационарный торговый объект после окончания срока его эксплуатации, установленного Договором, подлежит обязательному демонтажу субъектом торговли в течение пяти дней с момента окончания срока действия Договора.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br/>
        <w:t xml:space="preserve">7.2. </w:t>
      </w:r>
      <w:proofErr w:type="gramStart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В случае неисполнения в добровольном порядке субъектом торговли демонтажа нестационарного торгового объекта по истечении срока действия Договора или при досрочном прекращении Договора, </w:t>
      </w:r>
      <w:r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</w:t>
      </w:r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>а также в случае самовольного размещения нестационарных торговых объектов без разрешительной документации в установленном порядке осуществляется его принудительный демонтаж в соответствии с Порядком демонтажа и перемещения самовольно установленных и незаконно размещенных объектов движимого имущества на территории МО «Хасавюртовский</w:t>
      </w:r>
      <w:proofErr w:type="gramEnd"/>
      <w:r w:rsidRPr="005C7139">
        <w:rPr>
          <w:rFonts w:ascii="Times New Roman" w:eastAsia="Times New Roman" w:hAnsi="Times New Roman" w:cs="Times New Roman"/>
          <w:color w:val="2D2D2D"/>
          <w:sz w:val="24"/>
          <w:szCs w:val="24"/>
          <w:lang w:eastAsia="ru-RU"/>
        </w:rPr>
        <w:t xml:space="preserve"> район</w:t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both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  <w:r w:rsidRPr="005C7139"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  <w:br/>
      </w:r>
    </w:p>
    <w:p w:rsidR="005C7139" w:rsidRPr="005C7139" w:rsidRDefault="005C7139" w:rsidP="005C7139">
      <w:pPr>
        <w:shd w:val="clear" w:color="auto" w:fill="FFFFFF"/>
        <w:spacing w:after="0" w:line="288" w:lineRule="atLeast"/>
        <w:jc w:val="both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  <w:r w:rsidRPr="005C7139"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  <w:br/>
      </w: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5C7139" w:rsidRPr="005C7139" w:rsidRDefault="005C7139" w:rsidP="005C7139">
      <w:pPr>
        <w:shd w:val="clear" w:color="auto" w:fill="FFFFFF"/>
        <w:spacing w:after="0" w:line="175" w:lineRule="atLeast"/>
        <w:jc w:val="right"/>
        <w:textAlignment w:val="baseline"/>
        <w:rPr>
          <w:rFonts w:ascii="Courier New" w:eastAsia="Times New Roman" w:hAnsi="Courier New" w:cs="Courier New"/>
          <w:color w:val="2D2D2D"/>
          <w:sz w:val="24"/>
          <w:szCs w:val="24"/>
          <w:lang w:eastAsia="ru-RU"/>
        </w:rPr>
      </w:pPr>
    </w:p>
    <w:p w:rsidR="00EE7E1F" w:rsidRPr="005C7139" w:rsidRDefault="00EE7E1F">
      <w:pPr>
        <w:rPr>
          <w:sz w:val="24"/>
          <w:szCs w:val="24"/>
        </w:rPr>
      </w:pPr>
    </w:p>
    <w:sectPr w:rsidR="00EE7E1F" w:rsidRPr="005C7139" w:rsidSect="000C216B">
      <w:pgSz w:w="11906" w:h="16838"/>
      <w:pgMar w:top="851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C7139"/>
    <w:rsid w:val="00040153"/>
    <w:rsid w:val="000830B9"/>
    <w:rsid w:val="000C216B"/>
    <w:rsid w:val="001B63E8"/>
    <w:rsid w:val="0028126B"/>
    <w:rsid w:val="003760FB"/>
    <w:rsid w:val="003C3FCD"/>
    <w:rsid w:val="004F1782"/>
    <w:rsid w:val="00533ADC"/>
    <w:rsid w:val="00556CB3"/>
    <w:rsid w:val="005C7139"/>
    <w:rsid w:val="005D6E7C"/>
    <w:rsid w:val="006E4CE7"/>
    <w:rsid w:val="006F133A"/>
    <w:rsid w:val="007914D8"/>
    <w:rsid w:val="007D3D94"/>
    <w:rsid w:val="00952EBD"/>
    <w:rsid w:val="00C62E52"/>
    <w:rsid w:val="00CF3DE9"/>
    <w:rsid w:val="00D15812"/>
    <w:rsid w:val="00D53A89"/>
    <w:rsid w:val="00E8070F"/>
    <w:rsid w:val="00EE7E1F"/>
    <w:rsid w:val="00F96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70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1705232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1705232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192509" TargetMode="External"/><Relationship Id="rId5" Type="http://schemas.openxmlformats.org/officeDocument/2006/relationships/hyperlink" Target="http://docs.cntd.ru/document/9018760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44BF0-8C4D-4517-8EC7-26E3AF889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1654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Адильский</cp:lastModifiedBy>
  <cp:revision>16</cp:revision>
  <cp:lastPrinted>2015-06-25T13:08:00Z</cp:lastPrinted>
  <dcterms:created xsi:type="dcterms:W3CDTF">2015-06-23T11:49:00Z</dcterms:created>
  <dcterms:modified xsi:type="dcterms:W3CDTF">2015-11-03T08:21:00Z</dcterms:modified>
</cp:coreProperties>
</file>